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80" w:rsidRDefault="00C01D80">
      <w:pPr>
        <w:pStyle w:val="title"/>
        <w:rPr>
          <w:rFonts w:ascii="Times New Roman" w:hAnsi="Times New Roman" w:cs="Times New Roman"/>
          <w:sz w:val="28"/>
          <w:szCs w:val="28"/>
        </w:rPr>
      </w:pPr>
      <w:r>
        <w:rPr>
          <w:rFonts w:ascii="Times New Roman" w:hAnsi="Times New Roman" w:cs="Times New Roman"/>
          <w:sz w:val="28"/>
          <w:szCs w:val="28"/>
        </w:rPr>
        <w:t>COMUNICAT DE PRESĂ I</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  În ziua de 9 iulie 2012, Plenul Curţii Constituţionale, învestit în temeiul art.146 lit.a) din Constituţia României şi al art.15 din Legea nr.47/1992 privind organizarea şi funcţionarea Curţii Constituţionale, s-a întrunit pentru a soluţiona, în cadrul controlului anterior promulgării, obiecţia de neconstituţionalitate formulată de un număr de 67 de deputaţi aparţinând Grupului Parlamentar al Partidului Democrat Liberal referitoare la neconstituţionalitatea Legii nr.47/1992 privind organizarea şi funcţionarea Curţii Constituţionale. </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În urma deliberărilor, Curtea Constituţională,</w:t>
      </w:r>
      <w:r>
        <w:t xml:space="preserve"> </w:t>
      </w:r>
      <w:r>
        <w:rPr>
          <w:rFonts w:ascii="Times New Roman" w:hAnsi="Times New Roman" w:cs="Times New Roman"/>
          <w:sz w:val="28"/>
          <w:szCs w:val="28"/>
        </w:rPr>
        <w:t>cu majoritate de voturi, a admis sesizarea de neconstituţionalitate şi a constatat că soluţia legislativă care exclude de la controlul de constituţionalitate hotărârile Parlamentului care afectează valori şi principii constituţionale este neconstituţională.</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 xml:space="preserve">Argumentaţiile reţinute în motivarea soluţiei pronunţate de Plenul Curţii Constituţionale vor fi prezentate în cuprinsul deciziei, care se publică în Monitorul Oficial al României, Partea I. </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 xml:space="preserve">Decizia este definitivă şi general obligatorie şi se comunică Preşedintelui României, preşedinţilor celor două Camere ale Parlamentului şi primului-ministru. </w:t>
      </w:r>
    </w:p>
    <w:p w:rsidR="00C01D80" w:rsidRDefault="00C01D80">
      <w:pPr>
        <w:pStyle w:val="stiltext"/>
        <w:ind w:firstLine="0"/>
        <w:rPr>
          <w:rFonts w:ascii="Times New Roman" w:hAnsi="Times New Roman" w:cs="Times New Roman"/>
          <w:sz w:val="28"/>
          <w:szCs w:val="28"/>
        </w:rPr>
      </w:pPr>
      <w:r>
        <w:rPr>
          <w:rFonts w:ascii="Times New Roman" w:hAnsi="Times New Roman" w:cs="Times New Roman"/>
          <w:sz w:val="28"/>
          <w:szCs w:val="28"/>
        </w:rPr>
        <w:t xml:space="preserve">  </w:t>
      </w:r>
    </w:p>
    <w:p w:rsidR="00C01D80" w:rsidRDefault="00C01D80">
      <w:pPr>
        <w:pStyle w:val="title"/>
        <w:rPr>
          <w:rFonts w:ascii="Times New Roman" w:hAnsi="Times New Roman" w:cs="Times New Roman"/>
          <w:sz w:val="28"/>
          <w:szCs w:val="28"/>
        </w:rPr>
      </w:pPr>
      <w:r>
        <w:rPr>
          <w:rFonts w:ascii="Times New Roman" w:hAnsi="Times New Roman" w:cs="Times New Roman"/>
          <w:sz w:val="28"/>
          <w:szCs w:val="28"/>
        </w:rPr>
        <w:t>COMUNICAT DE PRESĂ II</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  1. În ziua de 9 iulie 2012, Plenul Curţii Constituţionale, învestit în temeiul art.146 lit.l) din Constituţia României, s-a întrunit pentru a soluţiona sesizările de neconstituţionalitate formulate de domnul Vasile Blaga, precum şi de un număr  de 28 de senatori aparţinând Grupului Parlamentar al Partidului Democrat Liberal referitoare la neconstituţionalitatea Hotărârii Senatului nr.24 din 3 iulie 2012 privind revocarea domnului Vasile Blaga din funcţia de preşedinte al Senatului. </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În urma deliberărilor, Curtea Constituţională,</w:t>
      </w:r>
      <w:r>
        <w:t xml:space="preserve"> </w:t>
      </w:r>
      <w:r>
        <w:rPr>
          <w:rFonts w:ascii="Times New Roman" w:hAnsi="Times New Roman" w:cs="Times New Roman"/>
          <w:sz w:val="28"/>
          <w:szCs w:val="28"/>
        </w:rPr>
        <w:t>cu majoritate de voturi, a respins, ca inadmisibilă, sesizarea de neconstituţionalitate.</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 xml:space="preserve">Argumentaţiile reţinute în motivarea soluţiei pronunţate de Plenul Curţii Constituţionale vor fi prezentate în cuprinsul deciziei, care se publică în Monitorul Oficial al României, Partea I. </w:t>
      </w: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   2. În aceeaşi şedinţă, Plenul Curţii Constituţionale, învestit în temeiul art.146 lit.l) din Constituţia României, a soluţionat sesizările de neconstituţionalitate formulate de doamna Roberta Alma Anastase, precum şi de un număr de 58 de deputaţi aparţinând Grupului Parlamentar al Partidului Democrat Liberal referitoare la neconstituţionalitatea Hotărârii Camerei Deputaţilor nr.25 din 3 iulie 2012 privind revocarea doamnei Roberta Alma Anastase din funcţia de preşedinte şi de membru al Biroului permanent al Camerei Deputaţilor.</w:t>
      </w: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În urma deliberărilor, Curtea Constituţională,</w:t>
      </w:r>
      <w:r>
        <w:t xml:space="preserve"> </w:t>
      </w:r>
      <w:r>
        <w:rPr>
          <w:rFonts w:ascii="Times New Roman" w:hAnsi="Times New Roman" w:cs="Times New Roman"/>
          <w:sz w:val="28"/>
          <w:szCs w:val="28"/>
        </w:rPr>
        <w:t>cu majoritate de voturi, a respins, ca inadmisibilă, sesizarea de neconstituţionalitate.</w:t>
      </w: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 xml:space="preserve">Argumentaţiile reţinute în motivarea soluţiei pronunţate de Plenul Curţii Constituţionale vor fi prezentate în cuprinsul deciziei, care se publică în Monitorul Oficial al României, Partea I. </w:t>
      </w: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r>
        <w:rPr>
          <w:rFonts w:ascii="Times New Roman" w:hAnsi="Times New Roman" w:cs="Times New Roman"/>
          <w:sz w:val="28"/>
          <w:szCs w:val="28"/>
        </w:rPr>
        <w:t xml:space="preserve">Deciziile sunt definitive şi general obligatorii şi se comunică Senatului, respectiv Camerei Deputaţilor. </w:t>
      </w: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r>
        <w:rPr>
          <w:rFonts w:ascii="Times New Roman" w:hAnsi="Times New Roman" w:cs="Times New Roman"/>
          <w:sz w:val="28"/>
          <w:szCs w:val="28"/>
        </w:rPr>
        <w:t>COMUNICAT DE PRESĂ III</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În şedinţa din ziua de 9 iulie 2012, Plenul Curţii Constituţionale, învestit în temeiul art.146 lit.e) din Constituţia României şi al art.34 din Legea nr.47/1992 privind organizarea şi funcţionarea Curţii Constituţionale, a examinat cererea formulată de Preşedintele României privind soluţionarea conflictului juridic de natură constituţională dintre Parlamentul României, pe de o parte, şi Preşedintele României, pe de altă parte. </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La şedinţa de judecată </w:t>
      </w:r>
      <w:r>
        <w:rPr>
          <w:rFonts w:ascii="Times New Roman" w:hAnsi="Times New Roman" w:cs="Times New Roman"/>
          <w:color w:val="000000"/>
          <w:sz w:val="28"/>
          <w:szCs w:val="28"/>
        </w:rPr>
        <w:t xml:space="preserve">a participat </w:t>
      </w:r>
      <w:r>
        <w:rPr>
          <w:rFonts w:ascii="Times New Roman" w:hAnsi="Times New Roman" w:cs="Times New Roman"/>
          <w:sz w:val="28"/>
          <w:szCs w:val="28"/>
        </w:rPr>
        <w:t>Preşedintele României, domnul Traian Băsescu.</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În urma deliberărilor</w:t>
      </w:r>
      <w:r>
        <w:rPr>
          <w:rFonts w:ascii="Times New Roman" w:hAnsi="Times New Roman" w:cs="Times New Roman"/>
          <w:color w:val="000000"/>
          <w:sz w:val="28"/>
          <w:szCs w:val="28"/>
        </w:rPr>
        <w:t xml:space="preserve">, cu majoritate </w:t>
      </w:r>
      <w:r>
        <w:rPr>
          <w:rFonts w:ascii="Times New Roman" w:hAnsi="Times New Roman" w:cs="Times New Roman"/>
          <w:sz w:val="28"/>
          <w:szCs w:val="28"/>
        </w:rPr>
        <w:t xml:space="preserve">de voturi, Curtea Constituţională a constatat că cererea de soluţionare a conflictului juridic de natură constituţională între Parlamentul României, pe de o parte, şi Preşedintele României, pe de altă parte, formulată de Preşedintele României, este inadmisibilă. </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Argumentaţia reţinută în motivarea soluţiei pronunţate de Curtea Constituţională va fi prezentată în cuprinsul deciziei, care se publică în Monitorul Oficial al României, Partea I. </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Decizia este definitivă şi general obligatorie şi se comunică Preşedintelui României şi Parlamentului.</w:t>
      </w: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bookmarkStart w:id="0" w:name="_GoBack"/>
      <w:bookmarkEnd w:id="0"/>
    </w:p>
    <w:p w:rsidR="00C01D80" w:rsidRDefault="00C01D80">
      <w:pPr>
        <w:pStyle w:val="title"/>
        <w:rPr>
          <w:rFonts w:ascii="Times New Roman" w:hAnsi="Times New Roman" w:cs="Times New Roman"/>
          <w:sz w:val="28"/>
          <w:szCs w:val="28"/>
        </w:rPr>
      </w:pPr>
      <w:r>
        <w:rPr>
          <w:rFonts w:ascii="Times New Roman" w:hAnsi="Times New Roman" w:cs="Times New Roman"/>
          <w:sz w:val="28"/>
          <w:szCs w:val="28"/>
        </w:rPr>
        <w:t>COMUNICAT DE PRESĂ IV</w:t>
      </w:r>
    </w:p>
    <w:p w:rsidR="00C01D80" w:rsidRDefault="00C01D80">
      <w:pPr>
        <w:pStyle w:val="title"/>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În şedinţa din ziua de 9 iulie 2012, Plenul Curţii Constituţionale, învestit în temeiul art.146 lit.g) din Constituţia României şi al art.44 din Legea nr.47/1992 privind organizarea şi funcţionarea Curţii Constituţionale, a examinat cererea privind constatarea existenţei împrejurărilor care justifică interimatul în exercitarea funcţiei de Preşedinte al României. </w:t>
      </w:r>
    </w:p>
    <w:p w:rsidR="00C01D80" w:rsidRDefault="00C01D80">
      <w:pPr>
        <w:pStyle w:val="stiltext"/>
        <w:rPr>
          <w:rFonts w:ascii="Times New Roman" w:hAnsi="Times New Roman" w:cs="Times New Roman"/>
          <w:color w:val="000000"/>
          <w:sz w:val="28"/>
          <w:szCs w:val="28"/>
        </w:rPr>
      </w:pPr>
      <w:r>
        <w:rPr>
          <w:rFonts w:ascii="Times New Roman" w:hAnsi="Times New Roman" w:cs="Times New Roman"/>
          <w:color w:val="000000"/>
          <w:sz w:val="28"/>
          <w:szCs w:val="28"/>
        </w:rPr>
        <w:t>În urma deliberărilor, cu majoritate de voturi, Curtea Constituţională a hotărât:</w:t>
      </w:r>
    </w:p>
    <w:p w:rsidR="00C01D80" w:rsidRDefault="00C01D80">
      <w:pPr>
        <w:pStyle w:val="stiltext"/>
        <w:numPr>
          <w:ilvl w:val="0"/>
          <w:numId w:val="1"/>
        </w:numPr>
        <w:rPr>
          <w:rFonts w:ascii="Times New Roman" w:hAnsi="Times New Roman" w:cs="Times New Roman"/>
          <w:color w:val="000000"/>
          <w:sz w:val="28"/>
          <w:szCs w:val="28"/>
        </w:rPr>
      </w:pPr>
      <w:r>
        <w:rPr>
          <w:rFonts w:ascii="Times New Roman" w:hAnsi="Times New Roman" w:cs="Times New Roman"/>
          <w:color w:val="000000"/>
          <w:sz w:val="28"/>
          <w:szCs w:val="28"/>
        </w:rPr>
        <w:t xml:space="preserve">Constată că procedura privind suspendarea din funcţia de Preşedinte al României a domnului Traian Băsescu a fost respectată. </w:t>
      </w:r>
    </w:p>
    <w:p w:rsidR="00C01D80" w:rsidRDefault="00C01D80">
      <w:pPr>
        <w:pStyle w:val="stiltext"/>
        <w:numPr>
          <w:ilvl w:val="0"/>
          <w:numId w:val="1"/>
        </w:numPr>
        <w:rPr>
          <w:rFonts w:ascii="Times New Roman" w:hAnsi="Times New Roman" w:cs="Times New Roman"/>
          <w:color w:val="000000"/>
          <w:sz w:val="28"/>
          <w:szCs w:val="28"/>
        </w:rPr>
      </w:pPr>
      <w:r>
        <w:rPr>
          <w:rFonts w:ascii="Times New Roman" w:hAnsi="Times New Roman" w:cs="Times New Roman"/>
          <w:color w:val="000000"/>
          <w:sz w:val="28"/>
          <w:szCs w:val="28"/>
        </w:rPr>
        <w:t>Constată existenţa împrejurărilor care justifică interimatul în exercitarea funcţiei de Preşedinte al României.</w:t>
      </w:r>
    </w:p>
    <w:p w:rsidR="00C01D80" w:rsidRDefault="00C01D80">
      <w:pPr>
        <w:pStyle w:val="stiltext"/>
        <w:numPr>
          <w:ilvl w:val="0"/>
          <w:numId w:val="1"/>
        </w:numPr>
        <w:rPr>
          <w:rFonts w:ascii="Times New Roman" w:hAnsi="Times New Roman" w:cs="Times New Roman"/>
          <w:color w:val="000000"/>
          <w:sz w:val="28"/>
          <w:szCs w:val="28"/>
        </w:rPr>
      </w:pPr>
      <w:r>
        <w:rPr>
          <w:rFonts w:ascii="Times New Roman" w:hAnsi="Times New Roman" w:cs="Times New Roman"/>
          <w:color w:val="000000"/>
          <w:sz w:val="28"/>
          <w:szCs w:val="28"/>
        </w:rPr>
        <w:t xml:space="preserve">Constată că, în conformitate cu dispoziţiile art.98 alin.(1) din Constituţie, interimatul funcţiei de Preşedinte al României se asigură de preşedintele Senatului, domnul George-Crin-Laurenţiu Antonescu. </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 xml:space="preserve">Argumentaţia reţinută în motivarea soluţiei pronunţate de Curtea Constituţională va fi prezentată în cuprinsul hotărârii, care se publică în Monitorul Oficial al României, Partea I. </w:t>
      </w:r>
    </w:p>
    <w:p w:rsidR="00C01D80" w:rsidRDefault="00C01D80">
      <w:pPr>
        <w:pStyle w:val="stiltext"/>
        <w:rPr>
          <w:rFonts w:ascii="Times New Roman" w:hAnsi="Times New Roman" w:cs="Times New Roman"/>
          <w:sz w:val="28"/>
          <w:szCs w:val="28"/>
        </w:rPr>
      </w:pPr>
      <w:r>
        <w:rPr>
          <w:rFonts w:ascii="Times New Roman" w:hAnsi="Times New Roman" w:cs="Times New Roman"/>
          <w:sz w:val="28"/>
          <w:szCs w:val="28"/>
        </w:rPr>
        <w:t>Hotărârea este definitivă şi general obligatorie şi se comunică Parlamentului şi Guvernului.</w:t>
      </w:r>
    </w:p>
    <w:p w:rsidR="00C01D80" w:rsidRDefault="00C01D80">
      <w:pPr>
        <w:pStyle w:val="stiltext"/>
        <w:ind w:firstLine="0"/>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stiltext"/>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p>
    <w:p w:rsidR="00C01D80" w:rsidRDefault="00C01D80">
      <w:pPr>
        <w:pStyle w:val="title"/>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pStyle w:val="stiltext"/>
        <w:spacing w:before="0" w:beforeAutospacing="0" w:after="0" w:afterAutospacing="0"/>
        <w:ind w:firstLine="708"/>
        <w:rPr>
          <w:rFonts w:ascii="Times New Roman" w:hAnsi="Times New Roman" w:cs="Times New Roman"/>
          <w:sz w:val="28"/>
          <w:szCs w:val="28"/>
        </w:rPr>
      </w:pPr>
    </w:p>
    <w:p w:rsidR="00C01D80" w:rsidRDefault="00C01D80">
      <w:pPr>
        <w:spacing w:line="240" w:lineRule="auto"/>
        <w:rPr>
          <w:rFonts w:ascii="Times New Roman" w:hAnsi="Times New Roman" w:cs="Times New Roman"/>
        </w:rPr>
      </w:pPr>
    </w:p>
    <w:sectPr w:rsidR="00C01D80" w:rsidSect="00C01D8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D80" w:rsidRDefault="00C01D8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C01D80" w:rsidRDefault="00C01D8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D80" w:rsidRDefault="00C01D8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C01D80" w:rsidRDefault="00C01D8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6171B"/>
    <w:multiLevelType w:val="hybridMultilevel"/>
    <w:tmpl w:val="01241078"/>
    <w:lvl w:ilvl="0" w:tplc="81A2C048">
      <w:start w:val="1"/>
      <w:numFmt w:val="decimal"/>
      <w:lvlText w:val="%1."/>
      <w:lvlJc w:val="left"/>
      <w:pPr>
        <w:ind w:left="810" w:hanging="360"/>
      </w:pPr>
      <w:rPr>
        <w:rFonts w:ascii="Times New Roman" w:hAnsi="Times New Roman" w:cs="Times New Roman" w:hint="default"/>
      </w:rPr>
    </w:lvl>
    <w:lvl w:ilvl="1" w:tplc="04180019">
      <w:start w:val="1"/>
      <w:numFmt w:val="lowerLetter"/>
      <w:lvlText w:val="%2."/>
      <w:lvlJc w:val="left"/>
      <w:pPr>
        <w:ind w:left="1530" w:hanging="360"/>
      </w:pPr>
      <w:rPr>
        <w:rFonts w:ascii="Times New Roman" w:hAnsi="Times New Roman" w:cs="Times New Roman"/>
      </w:rPr>
    </w:lvl>
    <w:lvl w:ilvl="2" w:tplc="0418001B">
      <w:start w:val="1"/>
      <w:numFmt w:val="lowerRoman"/>
      <w:lvlText w:val="%3."/>
      <w:lvlJc w:val="right"/>
      <w:pPr>
        <w:ind w:left="2250" w:hanging="180"/>
      </w:pPr>
      <w:rPr>
        <w:rFonts w:ascii="Times New Roman" w:hAnsi="Times New Roman" w:cs="Times New Roman"/>
      </w:rPr>
    </w:lvl>
    <w:lvl w:ilvl="3" w:tplc="0418000F">
      <w:start w:val="1"/>
      <w:numFmt w:val="decimal"/>
      <w:lvlText w:val="%4."/>
      <w:lvlJc w:val="left"/>
      <w:pPr>
        <w:ind w:left="2970" w:hanging="360"/>
      </w:pPr>
      <w:rPr>
        <w:rFonts w:ascii="Times New Roman" w:hAnsi="Times New Roman" w:cs="Times New Roman"/>
      </w:rPr>
    </w:lvl>
    <w:lvl w:ilvl="4" w:tplc="04180019">
      <w:start w:val="1"/>
      <w:numFmt w:val="lowerLetter"/>
      <w:lvlText w:val="%5."/>
      <w:lvlJc w:val="left"/>
      <w:pPr>
        <w:ind w:left="3690" w:hanging="360"/>
      </w:pPr>
      <w:rPr>
        <w:rFonts w:ascii="Times New Roman" w:hAnsi="Times New Roman" w:cs="Times New Roman"/>
      </w:rPr>
    </w:lvl>
    <w:lvl w:ilvl="5" w:tplc="0418001B">
      <w:start w:val="1"/>
      <w:numFmt w:val="lowerRoman"/>
      <w:lvlText w:val="%6."/>
      <w:lvlJc w:val="right"/>
      <w:pPr>
        <w:ind w:left="4410" w:hanging="180"/>
      </w:pPr>
      <w:rPr>
        <w:rFonts w:ascii="Times New Roman" w:hAnsi="Times New Roman" w:cs="Times New Roman"/>
      </w:rPr>
    </w:lvl>
    <w:lvl w:ilvl="6" w:tplc="0418000F">
      <w:start w:val="1"/>
      <w:numFmt w:val="decimal"/>
      <w:lvlText w:val="%7."/>
      <w:lvlJc w:val="left"/>
      <w:pPr>
        <w:ind w:left="5130" w:hanging="360"/>
      </w:pPr>
      <w:rPr>
        <w:rFonts w:ascii="Times New Roman" w:hAnsi="Times New Roman" w:cs="Times New Roman"/>
      </w:rPr>
    </w:lvl>
    <w:lvl w:ilvl="7" w:tplc="04180019">
      <w:start w:val="1"/>
      <w:numFmt w:val="lowerLetter"/>
      <w:lvlText w:val="%8."/>
      <w:lvlJc w:val="left"/>
      <w:pPr>
        <w:ind w:left="5850" w:hanging="360"/>
      </w:pPr>
      <w:rPr>
        <w:rFonts w:ascii="Times New Roman" w:hAnsi="Times New Roman" w:cs="Times New Roman"/>
      </w:rPr>
    </w:lvl>
    <w:lvl w:ilvl="8" w:tplc="0418001B">
      <w:start w:val="1"/>
      <w:numFmt w:val="lowerRoman"/>
      <w:lvlText w:val="%9."/>
      <w:lvlJc w:val="right"/>
      <w:pPr>
        <w:ind w:left="6570" w:hanging="18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1D80"/>
    <w:rsid w:val="00C01D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ro-RO"/>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text">
    <w:name w:val="stiltext"/>
    <w:basedOn w:val="Normal"/>
    <w:uiPriority w:val="99"/>
    <w:pPr>
      <w:spacing w:before="100" w:beforeAutospacing="1" w:after="100" w:afterAutospacing="1" w:line="240" w:lineRule="auto"/>
      <w:ind w:firstLine="450"/>
      <w:jc w:val="both"/>
    </w:pPr>
    <w:rPr>
      <w:rFonts w:ascii="Arial" w:hAnsi="Arial" w:cs="Arial"/>
      <w:sz w:val="24"/>
      <w:szCs w:val="24"/>
      <w:lang w:eastAsia="ro-RO"/>
    </w:rPr>
  </w:style>
  <w:style w:type="paragraph" w:customStyle="1" w:styleId="title">
    <w:name w:val="title"/>
    <w:basedOn w:val="Normal"/>
    <w:uiPriority w:val="99"/>
    <w:pPr>
      <w:spacing w:before="100" w:beforeAutospacing="1" w:after="100" w:afterAutospacing="1" w:line="240" w:lineRule="auto"/>
      <w:jc w:val="center"/>
    </w:pPr>
    <w:rPr>
      <w:rFonts w:ascii="Arial" w:hAnsi="Arial" w:cs="Arial"/>
      <w:caps/>
      <w:sz w:val="36"/>
      <w:szCs w:val="36"/>
      <w:lang w:eastAsia="ro-RO"/>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sid w:val="00C01D80"/>
    <w:rPr>
      <w:rFonts w:ascii="Calibri" w:hAnsi="Calibri" w:cs="Calibri"/>
      <w:lang w:val="ro-RO"/>
    </w:rPr>
  </w:style>
  <w:style w:type="character" w:customStyle="1" w:styleId="BodyTextIndentChar">
    <w:name w:val="Body Text Indent Char"/>
    <w:basedOn w:val="DefaultParagraphFont"/>
    <w:uiPriority w:val="99"/>
    <w:rPr>
      <w:rFonts w:ascii="Times New Roman" w:hAnsi="Times New Roman" w:cs="Times New Roman"/>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4</Pages>
  <Words>778</Words>
  <Characters>4439</Characters>
  <Application>Microsoft Office Outlook</Application>
  <DocSecurity>0</DocSecurity>
  <Lines>0</Lines>
  <Paragraphs>0</Paragraphs>
  <ScaleCrop>false</ScaleCrop>
  <Company>ccr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20</cp:revision>
  <cp:lastPrinted>2012-07-09T18:52:00Z</cp:lastPrinted>
  <dcterms:created xsi:type="dcterms:W3CDTF">2012-07-09T17:39:00Z</dcterms:created>
  <dcterms:modified xsi:type="dcterms:W3CDTF">2012-07-09T19:03:00Z</dcterms:modified>
</cp:coreProperties>
</file>