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562" w:rsidRPr="00AD4510" w:rsidRDefault="002E0562" w:rsidP="001810ED">
      <w:pPr>
        <w:pStyle w:val="Title"/>
        <w:jc w:val="center"/>
        <w:rPr>
          <w:rFonts w:ascii="Arial" w:hAnsi="Arial" w:cs="Arial"/>
          <w:b/>
          <w:sz w:val="40"/>
          <w:lang w:val="ro-RO"/>
        </w:rPr>
      </w:pPr>
      <w:r w:rsidRPr="00AD4510">
        <w:rPr>
          <w:rFonts w:ascii="Arial" w:hAnsi="Arial" w:cs="Arial"/>
          <w:b/>
          <w:sz w:val="40"/>
          <w:lang w:val="ro-RO"/>
        </w:rPr>
        <w:t>BUGET 2019</w:t>
      </w:r>
    </w:p>
    <w:p w:rsidR="002E0562" w:rsidRPr="00AD4510" w:rsidRDefault="002E0562" w:rsidP="00DB5FA6">
      <w:pPr>
        <w:rPr>
          <w:rFonts w:ascii="Arial" w:hAnsi="Arial" w:cs="Arial"/>
          <w:sz w:val="24"/>
          <w:szCs w:val="24"/>
          <w:lang w:val="ro-RO"/>
        </w:rPr>
      </w:pPr>
    </w:p>
    <w:tbl>
      <w:tblPr>
        <w:tblW w:w="9560" w:type="dxa"/>
        <w:tblInd w:w="-106" w:type="dxa"/>
        <w:tblLook w:val="0000" w:firstRow="0" w:lastRow="0" w:firstColumn="0" w:lastColumn="0" w:noHBand="0" w:noVBand="0"/>
      </w:tblPr>
      <w:tblGrid>
        <w:gridCol w:w="5434"/>
        <w:gridCol w:w="2187"/>
        <w:gridCol w:w="1939"/>
      </w:tblGrid>
      <w:tr w:rsidR="002E0562" w:rsidRPr="00404ACD" w:rsidTr="001810ED">
        <w:trPr>
          <w:trHeight w:val="855"/>
        </w:trPr>
        <w:tc>
          <w:tcPr>
            <w:tcW w:w="9560" w:type="dxa"/>
            <w:gridSpan w:val="3"/>
            <w:tcBorders>
              <w:top w:val="nil"/>
              <w:left w:val="nil"/>
              <w:bottom w:val="nil"/>
              <w:right w:val="nil"/>
            </w:tcBorders>
            <w:shd w:val="clear" w:color="auto" w:fill="0066CC"/>
            <w:vAlign w:val="center"/>
          </w:tcPr>
          <w:p w:rsidR="002E0562" w:rsidRPr="00AD4510" w:rsidRDefault="002E0562" w:rsidP="00116181">
            <w:pPr>
              <w:widowControl w:val="0"/>
              <w:spacing w:after="0" w:line="240" w:lineRule="auto"/>
              <w:jc w:val="center"/>
              <w:rPr>
                <w:rFonts w:ascii="Arial" w:hAnsi="Arial" w:cs="Arial"/>
                <w:b/>
                <w:bCs/>
                <w:color w:val="FFFFFF"/>
                <w:sz w:val="24"/>
                <w:szCs w:val="24"/>
                <w:lang w:val="ro-RO"/>
              </w:rPr>
            </w:pPr>
            <w:r w:rsidRPr="00AD4510">
              <w:rPr>
                <w:rFonts w:ascii="Arial" w:hAnsi="Arial" w:cs="Arial"/>
                <w:b/>
                <w:bCs/>
                <w:color w:val="FFFF00"/>
                <w:sz w:val="24"/>
                <w:szCs w:val="24"/>
                <w:lang w:val="ro-RO"/>
              </w:rPr>
              <w:t>INDICATORI MACROECONOMICI AI CONSTRUCȚIEI BUGETARE</w:t>
            </w:r>
          </w:p>
        </w:tc>
      </w:tr>
      <w:tr w:rsidR="002E0562" w:rsidRPr="00AD4510" w:rsidTr="001810ED">
        <w:trPr>
          <w:trHeight w:val="130"/>
        </w:trPr>
        <w:tc>
          <w:tcPr>
            <w:tcW w:w="9560" w:type="dxa"/>
            <w:gridSpan w:val="3"/>
            <w:tcBorders>
              <w:top w:val="nil"/>
              <w:left w:val="nil"/>
              <w:bottom w:val="single" w:sz="4" w:space="0" w:color="auto"/>
              <w:right w:val="nil"/>
            </w:tcBorders>
            <w:noWrap/>
            <w:vAlign w:val="bottom"/>
          </w:tcPr>
          <w:p w:rsidR="002E0562" w:rsidRPr="00AD4510" w:rsidRDefault="002E0562" w:rsidP="00116181">
            <w:pPr>
              <w:widowControl w:val="0"/>
              <w:spacing w:after="0" w:line="240" w:lineRule="auto"/>
              <w:jc w:val="center"/>
              <w:rPr>
                <w:rFonts w:ascii="Arial" w:hAnsi="Arial" w:cs="Arial"/>
                <w:b/>
                <w:bCs/>
                <w:sz w:val="24"/>
                <w:szCs w:val="24"/>
                <w:lang w:val="ro-RO"/>
              </w:rPr>
            </w:pPr>
          </w:p>
          <w:p w:rsidR="002E0562" w:rsidRPr="00AD4510" w:rsidRDefault="002E0562" w:rsidP="00DB5FA6">
            <w:pPr>
              <w:widowControl w:val="0"/>
              <w:spacing w:after="0" w:line="240" w:lineRule="auto"/>
              <w:jc w:val="center"/>
              <w:rPr>
                <w:rFonts w:ascii="Arial" w:hAnsi="Arial" w:cs="Arial"/>
                <w:b/>
                <w:bCs/>
                <w:sz w:val="24"/>
                <w:szCs w:val="24"/>
                <w:lang w:val="ro-RO"/>
              </w:rPr>
            </w:pPr>
            <w:r w:rsidRPr="00AD4510">
              <w:rPr>
                <w:rFonts w:ascii="Arial" w:hAnsi="Arial" w:cs="Arial"/>
                <w:b/>
                <w:bCs/>
                <w:sz w:val="24"/>
                <w:szCs w:val="24"/>
                <w:lang w:val="ro-RO"/>
              </w:rPr>
              <w:t xml:space="preserve">PRINCIPALII INDICATORI MACROECONOMICI </w:t>
            </w:r>
          </w:p>
        </w:tc>
      </w:tr>
      <w:tr w:rsidR="002E0562" w:rsidRPr="00AD4510" w:rsidTr="007B58FC">
        <w:trPr>
          <w:trHeight w:val="517"/>
        </w:trPr>
        <w:tc>
          <w:tcPr>
            <w:tcW w:w="5434" w:type="dxa"/>
            <w:tcBorders>
              <w:top w:val="nil"/>
              <w:left w:val="nil"/>
              <w:right w:val="nil"/>
            </w:tcBorders>
            <w:vAlign w:val="center"/>
          </w:tcPr>
          <w:p w:rsidR="002E0562" w:rsidRPr="00AD4510" w:rsidRDefault="002E0562" w:rsidP="00116181">
            <w:pPr>
              <w:widowControl w:val="0"/>
              <w:spacing w:after="0" w:line="240" w:lineRule="auto"/>
              <w:jc w:val="center"/>
              <w:rPr>
                <w:rFonts w:ascii="Arial" w:hAnsi="Arial" w:cs="Arial"/>
                <w:b/>
                <w:bCs/>
                <w:sz w:val="24"/>
                <w:szCs w:val="24"/>
                <w:lang w:val="ro-RO"/>
              </w:rPr>
            </w:pPr>
            <w:r w:rsidRPr="00AD4510">
              <w:rPr>
                <w:rFonts w:ascii="Arial" w:hAnsi="Arial" w:cs="Arial"/>
                <w:b/>
                <w:bCs/>
                <w:sz w:val="24"/>
                <w:szCs w:val="24"/>
                <w:lang w:val="ro-RO"/>
              </w:rPr>
              <w:t xml:space="preserve">Indicatori </w:t>
            </w:r>
          </w:p>
        </w:tc>
        <w:tc>
          <w:tcPr>
            <w:tcW w:w="4126" w:type="dxa"/>
            <w:gridSpan w:val="2"/>
            <w:tcBorders>
              <w:top w:val="single" w:sz="4" w:space="0" w:color="auto"/>
              <w:left w:val="nil"/>
              <w:right w:val="nil"/>
            </w:tcBorders>
            <w:noWrap/>
            <w:vAlign w:val="center"/>
          </w:tcPr>
          <w:p w:rsidR="002E0562" w:rsidRPr="00AD4510" w:rsidRDefault="002E0562" w:rsidP="007B58FC">
            <w:pPr>
              <w:widowControl w:val="0"/>
              <w:spacing w:after="0" w:line="240" w:lineRule="auto"/>
              <w:rPr>
                <w:rFonts w:ascii="Arial" w:hAnsi="Arial" w:cs="Arial"/>
                <w:b/>
                <w:sz w:val="24"/>
                <w:szCs w:val="24"/>
                <w:lang w:val="ro-RO"/>
              </w:rPr>
            </w:pPr>
            <w:r w:rsidRPr="00AD4510">
              <w:rPr>
                <w:rFonts w:ascii="Arial" w:hAnsi="Arial" w:cs="Arial"/>
                <w:b/>
                <w:sz w:val="24"/>
                <w:szCs w:val="24"/>
                <w:lang w:val="ro-RO"/>
              </w:rPr>
              <w:t xml:space="preserve">     Anul 2018                  Anul 2019  </w:t>
            </w:r>
          </w:p>
        </w:tc>
      </w:tr>
      <w:tr w:rsidR="002E0562" w:rsidRPr="00AD4510" w:rsidTr="00E65238">
        <w:trPr>
          <w:trHeight w:val="285"/>
        </w:trPr>
        <w:tc>
          <w:tcPr>
            <w:tcW w:w="5434" w:type="dxa"/>
            <w:tcBorders>
              <w:top w:val="nil"/>
              <w:left w:val="nil"/>
              <w:bottom w:val="nil"/>
              <w:right w:val="nil"/>
            </w:tcBorders>
            <w:noWrap/>
            <w:vAlign w:val="bottom"/>
          </w:tcPr>
          <w:p w:rsidR="002E0562" w:rsidRPr="00AD4510" w:rsidRDefault="002E0562" w:rsidP="00116181">
            <w:pPr>
              <w:widowControl w:val="0"/>
              <w:spacing w:after="0" w:line="240" w:lineRule="auto"/>
              <w:rPr>
                <w:rFonts w:ascii="Arial" w:hAnsi="Arial" w:cs="Arial"/>
                <w:sz w:val="24"/>
                <w:szCs w:val="24"/>
                <w:lang w:val="ro-RO"/>
              </w:rPr>
            </w:pPr>
            <w:r w:rsidRPr="00AD4510">
              <w:rPr>
                <w:rFonts w:ascii="Arial" w:hAnsi="Arial" w:cs="Arial"/>
                <w:sz w:val="24"/>
                <w:szCs w:val="24"/>
                <w:lang w:val="ro-RO"/>
              </w:rPr>
              <w:t>PIB - milioane lei</w:t>
            </w:r>
          </w:p>
        </w:tc>
        <w:tc>
          <w:tcPr>
            <w:tcW w:w="2187" w:type="dxa"/>
            <w:tcBorders>
              <w:top w:val="nil"/>
              <w:left w:val="nil"/>
              <w:bottom w:val="nil"/>
              <w:right w:val="nil"/>
            </w:tcBorders>
            <w:noWrap/>
            <w:vAlign w:val="bottom"/>
          </w:tcPr>
          <w:p w:rsidR="002E0562" w:rsidRPr="00AD4510" w:rsidRDefault="002E0562" w:rsidP="007B58FC">
            <w:pPr>
              <w:widowControl w:val="0"/>
              <w:spacing w:after="0" w:line="240" w:lineRule="auto"/>
              <w:jc w:val="right"/>
              <w:rPr>
                <w:rFonts w:ascii="Arial" w:hAnsi="Arial" w:cs="Arial"/>
                <w:sz w:val="24"/>
                <w:szCs w:val="24"/>
                <w:lang w:val="ro-RO"/>
              </w:rPr>
            </w:pPr>
            <w:r w:rsidRPr="00AD4510">
              <w:rPr>
                <w:rFonts w:ascii="Arial" w:hAnsi="Arial" w:cs="Arial"/>
                <w:sz w:val="24"/>
                <w:szCs w:val="24"/>
                <w:lang w:val="ro-RO"/>
              </w:rPr>
              <w:t>949.600</w:t>
            </w:r>
          </w:p>
        </w:tc>
        <w:tc>
          <w:tcPr>
            <w:tcW w:w="1939" w:type="dxa"/>
            <w:tcBorders>
              <w:top w:val="nil"/>
              <w:left w:val="nil"/>
              <w:bottom w:val="nil"/>
              <w:right w:val="nil"/>
            </w:tcBorders>
            <w:noWrap/>
            <w:vAlign w:val="bottom"/>
          </w:tcPr>
          <w:p w:rsidR="002E0562" w:rsidRPr="00AD4510" w:rsidRDefault="002E0562" w:rsidP="00116181">
            <w:pPr>
              <w:widowControl w:val="0"/>
              <w:spacing w:after="0" w:line="240" w:lineRule="auto"/>
              <w:jc w:val="right"/>
              <w:rPr>
                <w:rFonts w:ascii="Arial" w:hAnsi="Arial" w:cs="Arial"/>
                <w:sz w:val="24"/>
                <w:szCs w:val="24"/>
                <w:lang w:val="ro-RO"/>
              </w:rPr>
            </w:pPr>
            <w:r w:rsidRPr="00AD4510">
              <w:rPr>
                <w:rFonts w:ascii="Arial" w:hAnsi="Arial" w:cs="Arial"/>
                <w:sz w:val="24"/>
                <w:szCs w:val="24"/>
                <w:lang w:val="ro-RO"/>
              </w:rPr>
              <w:t>1.022.500</w:t>
            </w:r>
          </w:p>
        </w:tc>
      </w:tr>
      <w:tr w:rsidR="002E0562" w:rsidRPr="00AD4510" w:rsidTr="00E65238">
        <w:trPr>
          <w:trHeight w:hRule="exact" w:val="113"/>
        </w:trPr>
        <w:tc>
          <w:tcPr>
            <w:tcW w:w="5434" w:type="dxa"/>
            <w:tcBorders>
              <w:top w:val="nil"/>
              <w:left w:val="nil"/>
              <w:bottom w:val="nil"/>
              <w:right w:val="nil"/>
            </w:tcBorders>
            <w:noWrap/>
            <w:vAlign w:val="center"/>
          </w:tcPr>
          <w:p w:rsidR="002E0562" w:rsidRPr="00AD4510" w:rsidRDefault="002E0562" w:rsidP="00116181">
            <w:pPr>
              <w:widowControl w:val="0"/>
              <w:spacing w:after="0" w:line="240" w:lineRule="auto"/>
              <w:jc w:val="center"/>
              <w:rPr>
                <w:rFonts w:ascii="Arial" w:hAnsi="Arial" w:cs="Arial"/>
                <w:sz w:val="24"/>
                <w:szCs w:val="24"/>
                <w:lang w:val="ro-RO"/>
              </w:rPr>
            </w:pPr>
          </w:p>
        </w:tc>
        <w:tc>
          <w:tcPr>
            <w:tcW w:w="2187" w:type="dxa"/>
            <w:tcBorders>
              <w:top w:val="nil"/>
              <w:left w:val="nil"/>
              <w:bottom w:val="nil"/>
              <w:right w:val="nil"/>
            </w:tcBorders>
            <w:noWrap/>
            <w:vAlign w:val="center"/>
          </w:tcPr>
          <w:p w:rsidR="002E0562" w:rsidRPr="00AD4510" w:rsidRDefault="002E0562" w:rsidP="00116181">
            <w:pPr>
              <w:widowControl w:val="0"/>
              <w:spacing w:after="0" w:line="240" w:lineRule="auto"/>
              <w:rPr>
                <w:rFonts w:ascii="Arial" w:hAnsi="Arial" w:cs="Arial"/>
                <w:sz w:val="24"/>
                <w:szCs w:val="24"/>
                <w:lang w:val="ro-RO"/>
              </w:rPr>
            </w:pPr>
          </w:p>
        </w:tc>
        <w:tc>
          <w:tcPr>
            <w:tcW w:w="1939" w:type="dxa"/>
            <w:tcBorders>
              <w:top w:val="nil"/>
              <w:left w:val="nil"/>
              <w:bottom w:val="nil"/>
              <w:right w:val="nil"/>
            </w:tcBorders>
            <w:noWrap/>
            <w:vAlign w:val="center"/>
          </w:tcPr>
          <w:p w:rsidR="002E0562" w:rsidRPr="00AD4510" w:rsidRDefault="002E0562" w:rsidP="00116181">
            <w:pPr>
              <w:widowControl w:val="0"/>
              <w:spacing w:after="0" w:line="240" w:lineRule="auto"/>
              <w:jc w:val="right"/>
              <w:rPr>
                <w:rFonts w:ascii="Arial" w:hAnsi="Arial" w:cs="Arial"/>
                <w:sz w:val="24"/>
                <w:szCs w:val="24"/>
                <w:lang w:val="ro-RO"/>
              </w:rPr>
            </w:pPr>
          </w:p>
        </w:tc>
      </w:tr>
      <w:tr w:rsidR="002E0562" w:rsidRPr="00AD4510" w:rsidTr="00E65238">
        <w:trPr>
          <w:trHeight w:val="285"/>
        </w:trPr>
        <w:tc>
          <w:tcPr>
            <w:tcW w:w="5434" w:type="dxa"/>
            <w:tcBorders>
              <w:top w:val="nil"/>
              <w:left w:val="nil"/>
              <w:bottom w:val="nil"/>
              <w:right w:val="nil"/>
            </w:tcBorders>
            <w:noWrap/>
            <w:vAlign w:val="center"/>
          </w:tcPr>
          <w:p w:rsidR="002E0562" w:rsidRPr="00AD4510" w:rsidRDefault="002E0562" w:rsidP="00116181">
            <w:pPr>
              <w:widowControl w:val="0"/>
              <w:spacing w:after="0" w:line="240" w:lineRule="auto"/>
              <w:rPr>
                <w:rFonts w:ascii="Arial" w:hAnsi="Arial" w:cs="Arial"/>
                <w:sz w:val="24"/>
                <w:szCs w:val="24"/>
                <w:lang w:val="ro-RO"/>
              </w:rPr>
            </w:pPr>
            <w:r w:rsidRPr="00AD4510">
              <w:rPr>
                <w:rFonts w:ascii="Arial" w:hAnsi="Arial" w:cs="Arial"/>
                <w:sz w:val="24"/>
                <w:szCs w:val="24"/>
                <w:lang w:val="ro-RO"/>
              </w:rPr>
              <w:t>Creştere economică  %</w:t>
            </w:r>
          </w:p>
        </w:tc>
        <w:tc>
          <w:tcPr>
            <w:tcW w:w="2187" w:type="dxa"/>
            <w:tcBorders>
              <w:top w:val="nil"/>
              <w:left w:val="nil"/>
              <w:bottom w:val="nil"/>
              <w:right w:val="nil"/>
            </w:tcBorders>
            <w:noWrap/>
            <w:vAlign w:val="center"/>
          </w:tcPr>
          <w:p w:rsidR="002E0562" w:rsidRPr="00AD4510" w:rsidRDefault="002E0562" w:rsidP="007B58FC">
            <w:pPr>
              <w:widowControl w:val="0"/>
              <w:spacing w:after="0" w:line="240" w:lineRule="auto"/>
              <w:jc w:val="right"/>
              <w:rPr>
                <w:rFonts w:ascii="Arial" w:hAnsi="Arial" w:cs="Arial"/>
                <w:sz w:val="24"/>
                <w:szCs w:val="24"/>
                <w:lang w:val="ro-RO"/>
              </w:rPr>
            </w:pPr>
            <w:r w:rsidRPr="00AD4510">
              <w:rPr>
                <w:rFonts w:ascii="Arial" w:hAnsi="Arial" w:cs="Arial"/>
                <w:sz w:val="24"/>
                <w:szCs w:val="24"/>
                <w:lang w:val="ro-RO"/>
              </w:rPr>
              <w:t>4,5</w:t>
            </w:r>
          </w:p>
        </w:tc>
        <w:tc>
          <w:tcPr>
            <w:tcW w:w="1939" w:type="dxa"/>
            <w:tcBorders>
              <w:top w:val="nil"/>
              <w:left w:val="nil"/>
              <w:bottom w:val="nil"/>
              <w:right w:val="nil"/>
            </w:tcBorders>
            <w:noWrap/>
            <w:vAlign w:val="center"/>
          </w:tcPr>
          <w:p w:rsidR="002E0562" w:rsidRPr="00AD4510" w:rsidRDefault="002E0562" w:rsidP="00116181">
            <w:pPr>
              <w:widowControl w:val="0"/>
              <w:spacing w:after="0" w:line="240" w:lineRule="auto"/>
              <w:jc w:val="right"/>
              <w:rPr>
                <w:rFonts w:ascii="Arial" w:hAnsi="Arial" w:cs="Arial"/>
                <w:sz w:val="24"/>
                <w:szCs w:val="24"/>
                <w:lang w:val="ro-RO"/>
              </w:rPr>
            </w:pPr>
            <w:r w:rsidRPr="00AD4510">
              <w:rPr>
                <w:rFonts w:ascii="Arial" w:hAnsi="Arial" w:cs="Arial"/>
                <w:sz w:val="24"/>
                <w:szCs w:val="24"/>
                <w:lang w:val="ro-RO"/>
              </w:rPr>
              <w:t>5,5</w:t>
            </w:r>
          </w:p>
        </w:tc>
      </w:tr>
      <w:tr w:rsidR="002E0562" w:rsidRPr="00AD4510" w:rsidTr="00E65238">
        <w:trPr>
          <w:trHeight w:hRule="exact" w:val="113"/>
        </w:trPr>
        <w:tc>
          <w:tcPr>
            <w:tcW w:w="5434" w:type="dxa"/>
            <w:tcBorders>
              <w:top w:val="nil"/>
              <w:left w:val="nil"/>
              <w:bottom w:val="nil"/>
              <w:right w:val="nil"/>
            </w:tcBorders>
            <w:noWrap/>
            <w:vAlign w:val="center"/>
          </w:tcPr>
          <w:p w:rsidR="002E0562" w:rsidRPr="00AD4510" w:rsidRDefault="002E0562" w:rsidP="00116181">
            <w:pPr>
              <w:widowControl w:val="0"/>
              <w:spacing w:after="0" w:line="240" w:lineRule="auto"/>
              <w:jc w:val="center"/>
              <w:rPr>
                <w:rFonts w:ascii="Arial" w:hAnsi="Arial" w:cs="Arial"/>
                <w:sz w:val="24"/>
                <w:szCs w:val="24"/>
                <w:lang w:val="ro-RO"/>
              </w:rPr>
            </w:pPr>
          </w:p>
        </w:tc>
        <w:tc>
          <w:tcPr>
            <w:tcW w:w="2187" w:type="dxa"/>
            <w:tcBorders>
              <w:top w:val="nil"/>
              <w:left w:val="nil"/>
              <w:bottom w:val="nil"/>
              <w:right w:val="nil"/>
            </w:tcBorders>
            <w:noWrap/>
            <w:vAlign w:val="center"/>
          </w:tcPr>
          <w:p w:rsidR="002E0562" w:rsidRPr="00AD4510" w:rsidRDefault="002E0562" w:rsidP="00116181">
            <w:pPr>
              <w:widowControl w:val="0"/>
              <w:spacing w:after="0" w:line="240" w:lineRule="auto"/>
              <w:rPr>
                <w:rFonts w:ascii="Arial" w:hAnsi="Arial" w:cs="Arial"/>
                <w:sz w:val="24"/>
                <w:szCs w:val="24"/>
                <w:lang w:val="ro-RO"/>
              </w:rPr>
            </w:pPr>
          </w:p>
        </w:tc>
        <w:tc>
          <w:tcPr>
            <w:tcW w:w="1939" w:type="dxa"/>
            <w:tcBorders>
              <w:top w:val="nil"/>
              <w:left w:val="nil"/>
              <w:bottom w:val="nil"/>
              <w:right w:val="nil"/>
            </w:tcBorders>
            <w:noWrap/>
            <w:vAlign w:val="center"/>
          </w:tcPr>
          <w:p w:rsidR="002E0562" w:rsidRPr="00AD4510" w:rsidRDefault="002E0562" w:rsidP="00116181">
            <w:pPr>
              <w:widowControl w:val="0"/>
              <w:spacing w:after="0" w:line="240" w:lineRule="auto"/>
              <w:jc w:val="right"/>
              <w:rPr>
                <w:rFonts w:ascii="Arial" w:hAnsi="Arial" w:cs="Arial"/>
                <w:sz w:val="24"/>
                <w:szCs w:val="24"/>
                <w:lang w:val="ro-RO"/>
              </w:rPr>
            </w:pPr>
          </w:p>
        </w:tc>
      </w:tr>
      <w:tr w:rsidR="002E0562" w:rsidRPr="00AD4510" w:rsidTr="00E65238">
        <w:trPr>
          <w:trHeight w:val="285"/>
        </w:trPr>
        <w:tc>
          <w:tcPr>
            <w:tcW w:w="5434" w:type="dxa"/>
            <w:tcBorders>
              <w:top w:val="nil"/>
              <w:left w:val="nil"/>
              <w:bottom w:val="nil"/>
              <w:right w:val="nil"/>
            </w:tcBorders>
            <w:noWrap/>
            <w:vAlign w:val="bottom"/>
          </w:tcPr>
          <w:p w:rsidR="002E0562" w:rsidRPr="00AD4510" w:rsidRDefault="002E0562" w:rsidP="00116181">
            <w:pPr>
              <w:widowControl w:val="0"/>
              <w:spacing w:after="0" w:line="240" w:lineRule="auto"/>
              <w:rPr>
                <w:rFonts w:ascii="Arial" w:hAnsi="Arial" w:cs="Arial"/>
                <w:sz w:val="24"/>
                <w:szCs w:val="24"/>
                <w:lang w:val="ro-RO"/>
              </w:rPr>
            </w:pPr>
            <w:r w:rsidRPr="00AD4510">
              <w:rPr>
                <w:rFonts w:ascii="Arial" w:hAnsi="Arial" w:cs="Arial"/>
                <w:sz w:val="24"/>
                <w:szCs w:val="24"/>
                <w:lang w:val="ro-RO"/>
              </w:rPr>
              <w:t>Inflaţia medie anuală %</w:t>
            </w:r>
          </w:p>
        </w:tc>
        <w:tc>
          <w:tcPr>
            <w:tcW w:w="2187" w:type="dxa"/>
            <w:tcBorders>
              <w:top w:val="nil"/>
              <w:left w:val="nil"/>
              <w:bottom w:val="nil"/>
              <w:right w:val="nil"/>
            </w:tcBorders>
            <w:noWrap/>
            <w:vAlign w:val="bottom"/>
          </w:tcPr>
          <w:p w:rsidR="002E0562" w:rsidRPr="00AD4510" w:rsidRDefault="002E0562" w:rsidP="007B58FC">
            <w:pPr>
              <w:widowControl w:val="0"/>
              <w:spacing w:after="0" w:line="240" w:lineRule="auto"/>
              <w:ind w:left="720"/>
              <w:jc w:val="right"/>
              <w:rPr>
                <w:rFonts w:ascii="Arial" w:hAnsi="Arial" w:cs="Arial"/>
                <w:sz w:val="24"/>
                <w:szCs w:val="24"/>
                <w:lang w:val="ro-RO"/>
              </w:rPr>
            </w:pPr>
            <w:r w:rsidRPr="00AD4510">
              <w:rPr>
                <w:rFonts w:ascii="Arial" w:hAnsi="Arial" w:cs="Arial"/>
                <w:sz w:val="24"/>
                <w:szCs w:val="24"/>
                <w:lang w:val="ro-RO"/>
              </w:rPr>
              <w:t>4,63</w:t>
            </w:r>
          </w:p>
        </w:tc>
        <w:tc>
          <w:tcPr>
            <w:tcW w:w="1939" w:type="dxa"/>
            <w:tcBorders>
              <w:top w:val="nil"/>
              <w:left w:val="nil"/>
              <w:bottom w:val="nil"/>
              <w:right w:val="nil"/>
            </w:tcBorders>
            <w:noWrap/>
            <w:vAlign w:val="bottom"/>
          </w:tcPr>
          <w:p w:rsidR="002E0562" w:rsidRPr="00AD4510" w:rsidRDefault="002E0562" w:rsidP="00116181">
            <w:pPr>
              <w:widowControl w:val="0"/>
              <w:spacing w:after="0" w:line="240" w:lineRule="auto"/>
              <w:jc w:val="right"/>
              <w:rPr>
                <w:rFonts w:ascii="Arial" w:hAnsi="Arial" w:cs="Arial"/>
                <w:sz w:val="24"/>
                <w:szCs w:val="24"/>
                <w:lang w:val="ro-RO"/>
              </w:rPr>
            </w:pPr>
            <w:r w:rsidRPr="00AD4510">
              <w:rPr>
                <w:rFonts w:ascii="Arial" w:hAnsi="Arial" w:cs="Arial"/>
                <w:sz w:val="24"/>
                <w:szCs w:val="24"/>
                <w:lang w:val="ro-RO"/>
              </w:rPr>
              <w:t>2,8</w:t>
            </w:r>
          </w:p>
        </w:tc>
      </w:tr>
      <w:tr w:rsidR="002E0562" w:rsidRPr="00AD4510" w:rsidTr="00E65238">
        <w:trPr>
          <w:trHeight w:hRule="exact" w:val="113"/>
        </w:trPr>
        <w:tc>
          <w:tcPr>
            <w:tcW w:w="5434" w:type="dxa"/>
            <w:tcBorders>
              <w:top w:val="nil"/>
              <w:left w:val="nil"/>
              <w:bottom w:val="nil"/>
              <w:right w:val="nil"/>
            </w:tcBorders>
            <w:noWrap/>
            <w:vAlign w:val="bottom"/>
          </w:tcPr>
          <w:p w:rsidR="002E0562" w:rsidRPr="00AD4510" w:rsidRDefault="002E0562" w:rsidP="00116181">
            <w:pPr>
              <w:widowControl w:val="0"/>
              <w:spacing w:after="0" w:line="240" w:lineRule="auto"/>
              <w:rPr>
                <w:rFonts w:ascii="Arial" w:hAnsi="Arial" w:cs="Arial"/>
                <w:sz w:val="24"/>
                <w:szCs w:val="24"/>
                <w:lang w:val="ro-RO"/>
              </w:rPr>
            </w:pPr>
          </w:p>
        </w:tc>
        <w:tc>
          <w:tcPr>
            <w:tcW w:w="2187" w:type="dxa"/>
            <w:tcBorders>
              <w:top w:val="nil"/>
              <w:left w:val="nil"/>
              <w:bottom w:val="nil"/>
              <w:right w:val="nil"/>
            </w:tcBorders>
            <w:noWrap/>
            <w:vAlign w:val="bottom"/>
          </w:tcPr>
          <w:p w:rsidR="002E0562" w:rsidRPr="00AD4510" w:rsidRDefault="002E0562" w:rsidP="00116181">
            <w:pPr>
              <w:widowControl w:val="0"/>
              <w:spacing w:after="0" w:line="240" w:lineRule="auto"/>
              <w:rPr>
                <w:rFonts w:ascii="Arial" w:hAnsi="Arial" w:cs="Arial"/>
                <w:sz w:val="24"/>
                <w:szCs w:val="24"/>
                <w:lang w:val="ro-RO"/>
              </w:rPr>
            </w:pPr>
          </w:p>
        </w:tc>
        <w:tc>
          <w:tcPr>
            <w:tcW w:w="1939" w:type="dxa"/>
            <w:tcBorders>
              <w:top w:val="nil"/>
              <w:left w:val="nil"/>
              <w:bottom w:val="nil"/>
              <w:right w:val="nil"/>
            </w:tcBorders>
            <w:noWrap/>
            <w:vAlign w:val="bottom"/>
          </w:tcPr>
          <w:p w:rsidR="002E0562" w:rsidRPr="00AD4510" w:rsidRDefault="002E0562" w:rsidP="00116181">
            <w:pPr>
              <w:widowControl w:val="0"/>
              <w:spacing w:after="0" w:line="240" w:lineRule="auto"/>
              <w:jc w:val="right"/>
              <w:rPr>
                <w:rFonts w:ascii="Arial" w:hAnsi="Arial" w:cs="Arial"/>
                <w:sz w:val="24"/>
                <w:szCs w:val="24"/>
                <w:lang w:val="ro-RO"/>
              </w:rPr>
            </w:pPr>
          </w:p>
        </w:tc>
      </w:tr>
      <w:tr w:rsidR="002E0562" w:rsidRPr="00AD4510" w:rsidTr="00E65238">
        <w:trPr>
          <w:trHeight w:hRule="exact" w:val="113"/>
        </w:trPr>
        <w:tc>
          <w:tcPr>
            <w:tcW w:w="5434" w:type="dxa"/>
            <w:tcBorders>
              <w:top w:val="nil"/>
              <w:left w:val="nil"/>
              <w:bottom w:val="nil"/>
              <w:right w:val="nil"/>
            </w:tcBorders>
            <w:noWrap/>
            <w:vAlign w:val="bottom"/>
          </w:tcPr>
          <w:p w:rsidR="002E0562" w:rsidRPr="00AD4510" w:rsidRDefault="002E0562" w:rsidP="00116181">
            <w:pPr>
              <w:widowControl w:val="0"/>
              <w:spacing w:after="0" w:line="240" w:lineRule="auto"/>
              <w:rPr>
                <w:rFonts w:ascii="Arial" w:hAnsi="Arial" w:cs="Arial"/>
                <w:sz w:val="24"/>
                <w:szCs w:val="24"/>
                <w:lang w:val="ro-RO"/>
              </w:rPr>
            </w:pPr>
          </w:p>
        </w:tc>
        <w:tc>
          <w:tcPr>
            <w:tcW w:w="2187" w:type="dxa"/>
            <w:tcBorders>
              <w:top w:val="nil"/>
              <w:left w:val="nil"/>
              <w:bottom w:val="nil"/>
              <w:right w:val="nil"/>
            </w:tcBorders>
            <w:noWrap/>
            <w:vAlign w:val="bottom"/>
          </w:tcPr>
          <w:p w:rsidR="002E0562" w:rsidRPr="00AD4510" w:rsidRDefault="002E0562" w:rsidP="00116181">
            <w:pPr>
              <w:widowControl w:val="0"/>
              <w:spacing w:after="0" w:line="240" w:lineRule="auto"/>
              <w:rPr>
                <w:rFonts w:ascii="Arial" w:hAnsi="Arial" w:cs="Arial"/>
                <w:sz w:val="24"/>
                <w:szCs w:val="24"/>
                <w:lang w:val="ro-RO"/>
              </w:rPr>
            </w:pPr>
          </w:p>
        </w:tc>
        <w:tc>
          <w:tcPr>
            <w:tcW w:w="1939" w:type="dxa"/>
            <w:tcBorders>
              <w:top w:val="nil"/>
              <w:left w:val="nil"/>
              <w:bottom w:val="nil"/>
              <w:right w:val="nil"/>
            </w:tcBorders>
            <w:noWrap/>
            <w:vAlign w:val="bottom"/>
          </w:tcPr>
          <w:p w:rsidR="002E0562" w:rsidRPr="00AD4510" w:rsidRDefault="002E0562" w:rsidP="00116181">
            <w:pPr>
              <w:widowControl w:val="0"/>
              <w:spacing w:after="0" w:line="240" w:lineRule="auto"/>
              <w:jc w:val="right"/>
              <w:rPr>
                <w:rFonts w:ascii="Arial" w:hAnsi="Arial" w:cs="Arial"/>
                <w:sz w:val="24"/>
                <w:szCs w:val="24"/>
                <w:lang w:val="ro-RO"/>
              </w:rPr>
            </w:pPr>
          </w:p>
        </w:tc>
      </w:tr>
      <w:tr w:rsidR="002E0562" w:rsidRPr="00AD4510" w:rsidTr="00E65238">
        <w:trPr>
          <w:trHeight w:val="285"/>
        </w:trPr>
        <w:tc>
          <w:tcPr>
            <w:tcW w:w="5434" w:type="dxa"/>
            <w:tcBorders>
              <w:top w:val="nil"/>
              <w:left w:val="nil"/>
              <w:bottom w:val="nil"/>
              <w:right w:val="nil"/>
            </w:tcBorders>
            <w:noWrap/>
            <w:vAlign w:val="bottom"/>
          </w:tcPr>
          <w:p w:rsidR="002E0562" w:rsidRPr="00AD4510" w:rsidRDefault="002E0562" w:rsidP="00116181">
            <w:pPr>
              <w:widowControl w:val="0"/>
              <w:spacing w:after="0" w:line="240" w:lineRule="auto"/>
              <w:rPr>
                <w:rFonts w:ascii="Arial" w:hAnsi="Arial" w:cs="Arial"/>
                <w:sz w:val="24"/>
                <w:szCs w:val="24"/>
                <w:lang w:val="ro-RO"/>
              </w:rPr>
            </w:pPr>
            <w:r w:rsidRPr="00AD4510">
              <w:rPr>
                <w:rFonts w:ascii="Arial" w:hAnsi="Arial" w:cs="Arial"/>
                <w:sz w:val="24"/>
                <w:szCs w:val="24"/>
                <w:lang w:val="ro-RO"/>
              </w:rPr>
              <w:t>Şomeri (număr total perso</w:t>
            </w:r>
            <w:r>
              <w:rPr>
                <w:rFonts w:ascii="Arial" w:hAnsi="Arial" w:cs="Arial"/>
                <w:sz w:val="24"/>
                <w:szCs w:val="24"/>
                <w:lang w:val="ro-RO"/>
              </w:rPr>
              <w:t>a</w:t>
            </w:r>
            <w:r w:rsidRPr="00AD4510">
              <w:rPr>
                <w:rFonts w:ascii="Arial" w:hAnsi="Arial" w:cs="Arial"/>
                <w:sz w:val="24"/>
                <w:szCs w:val="24"/>
                <w:lang w:val="ro-RO"/>
              </w:rPr>
              <w:t>ne la sfarsitul anului)</w:t>
            </w:r>
          </w:p>
        </w:tc>
        <w:tc>
          <w:tcPr>
            <w:tcW w:w="2187" w:type="dxa"/>
            <w:tcBorders>
              <w:top w:val="nil"/>
              <w:left w:val="nil"/>
              <w:bottom w:val="nil"/>
              <w:right w:val="nil"/>
            </w:tcBorders>
            <w:shd w:val="clear" w:color="auto" w:fill="FFFFFF"/>
            <w:noWrap/>
            <w:vAlign w:val="bottom"/>
          </w:tcPr>
          <w:p w:rsidR="002E0562" w:rsidRPr="00AD4510" w:rsidRDefault="002E0562" w:rsidP="007B58FC">
            <w:pPr>
              <w:widowControl w:val="0"/>
              <w:spacing w:after="0" w:line="240" w:lineRule="auto"/>
              <w:jc w:val="right"/>
              <w:rPr>
                <w:rFonts w:ascii="Arial" w:hAnsi="Arial" w:cs="Arial"/>
                <w:sz w:val="24"/>
                <w:szCs w:val="24"/>
                <w:lang w:val="ro-RO"/>
              </w:rPr>
            </w:pPr>
            <w:r w:rsidRPr="00AD4510">
              <w:rPr>
                <w:rFonts w:ascii="Arial" w:hAnsi="Arial" w:cs="Arial"/>
                <w:sz w:val="24"/>
                <w:szCs w:val="24"/>
                <w:lang w:val="ro-RO"/>
              </w:rPr>
              <w:t>288.900</w:t>
            </w:r>
          </w:p>
        </w:tc>
        <w:tc>
          <w:tcPr>
            <w:tcW w:w="1939" w:type="dxa"/>
            <w:tcBorders>
              <w:top w:val="nil"/>
              <w:left w:val="nil"/>
              <w:bottom w:val="nil"/>
              <w:right w:val="nil"/>
            </w:tcBorders>
            <w:shd w:val="clear" w:color="auto" w:fill="FFFFFF"/>
            <w:noWrap/>
            <w:vAlign w:val="bottom"/>
          </w:tcPr>
          <w:p w:rsidR="002E0562" w:rsidRPr="00AD4510" w:rsidRDefault="002E0562" w:rsidP="00116181">
            <w:pPr>
              <w:widowControl w:val="0"/>
              <w:spacing w:after="0" w:line="240" w:lineRule="auto"/>
              <w:jc w:val="right"/>
              <w:rPr>
                <w:rFonts w:ascii="Arial" w:hAnsi="Arial" w:cs="Arial"/>
                <w:sz w:val="24"/>
                <w:szCs w:val="24"/>
                <w:lang w:val="ro-RO"/>
              </w:rPr>
            </w:pPr>
            <w:r w:rsidRPr="00AD4510">
              <w:rPr>
                <w:rFonts w:ascii="Arial" w:hAnsi="Arial" w:cs="Arial"/>
                <w:sz w:val="24"/>
                <w:szCs w:val="24"/>
                <w:lang w:val="ro-RO"/>
              </w:rPr>
              <w:t>287.000</w:t>
            </w:r>
          </w:p>
        </w:tc>
      </w:tr>
      <w:tr w:rsidR="002E0562" w:rsidRPr="00AD4510" w:rsidTr="00E65238">
        <w:trPr>
          <w:trHeight w:hRule="exact" w:val="113"/>
        </w:trPr>
        <w:tc>
          <w:tcPr>
            <w:tcW w:w="5434" w:type="dxa"/>
            <w:tcBorders>
              <w:top w:val="nil"/>
              <w:left w:val="nil"/>
              <w:bottom w:val="nil"/>
              <w:right w:val="nil"/>
            </w:tcBorders>
            <w:noWrap/>
            <w:vAlign w:val="bottom"/>
          </w:tcPr>
          <w:p w:rsidR="002E0562" w:rsidRPr="00AD4510" w:rsidRDefault="002E0562" w:rsidP="00116181">
            <w:pPr>
              <w:widowControl w:val="0"/>
              <w:spacing w:after="0" w:line="240" w:lineRule="auto"/>
              <w:rPr>
                <w:rFonts w:ascii="Arial" w:hAnsi="Arial" w:cs="Arial"/>
                <w:sz w:val="24"/>
                <w:szCs w:val="24"/>
                <w:lang w:val="ro-RO"/>
              </w:rPr>
            </w:pPr>
          </w:p>
        </w:tc>
        <w:tc>
          <w:tcPr>
            <w:tcW w:w="2187" w:type="dxa"/>
            <w:tcBorders>
              <w:top w:val="nil"/>
              <w:left w:val="nil"/>
              <w:bottom w:val="nil"/>
              <w:right w:val="nil"/>
            </w:tcBorders>
            <w:shd w:val="clear" w:color="auto" w:fill="FFFFFF"/>
            <w:noWrap/>
            <w:vAlign w:val="bottom"/>
          </w:tcPr>
          <w:p w:rsidR="002E0562" w:rsidRPr="00AD4510" w:rsidRDefault="002E0562" w:rsidP="00116181">
            <w:pPr>
              <w:widowControl w:val="0"/>
              <w:spacing w:after="0" w:line="240" w:lineRule="auto"/>
              <w:rPr>
                <w:rFonts w:ascii="Arial" w:hAnsi="Arial" w:cs="Arial"/>
                <w:sz w:val="24"/>
                <w:szCs w:val="24"/>
                <w:lang w:val="ro-RO"/>
              </w:rPr>
            </w:pPr>
          </w:p>
        </w:tc>
        <w:tc>
          <w:tcPr>
            <w:tcW w:w="1939" w:type="dxa"/>
            <w:tcBorders>
              <w:top w:val="nil"/>
              <w:left w:val="nil"/>
              <w:bottom w:val="nil"/>
              <w:right w:val="nil"/>
            </w:tcBorders>
            <w:shd w:val="clear" w:color="auto" w:fill="FFFFFF"/>
            <w:noWrap/>
            <w:vAlign w:val="bottom"/>
          </w:tcPr>
          <w:p w:rsidR="002E0562" w:rsidRPr="00AD4510" w:rsidRDefault="002E0562" w:rsidP="00116181">
            <w:pPr>
              <w:widowControl w:val="0"/>
              <w:spacing w:after="0" w:line="240" w:lineRule="auto"/>
              <w:jc w:val="right"/>
              <w:rPr>
                <w:rFonts w:ascii="Arial" w:hAnsi="Arial" w:cs="Arial"/>
                <w:sz w:val="24"/>
                <w:szCs w:val="24"/>
                <w:lang w:val="ro-RO"/>
              </w:rPr>
            </w:pPr>
          </w:p>
        </w:tc>
      </w:tr>
      <w:tr w:rsidR="002E0562" w:rsidRPr="00AD4510" w:rsidTr="007B58FC">
        <w:trPr>
          <w:trHeight w:val="80"/>
        </w:trPr>
        <w:tc>
          <w:tcPr>
            <w:tcW w:w="5434" w:type="dxa"/>
            <w:tcBorders>
              <w:top w:val="nil"/>
              <w:left w:val="nil"/>
              <w:right w:val="nil"/>
            </w:tcBorders>
            <w:noWrap/>
            <w:vAlign w:val="bottom"/>
          </w:tcPr>
          <w:p w:rsidR="002E0562" w:rsidRPr="00AD4510" w:rsidRDefault="00015F6D" w:rsidP="00116181">
            <w:pPr>
              <w:widowControl w:val="0"/>
              <w:spacing w:after="0" w:line="240" w:lineRule="auto"/>
              <w:rPr>
                <w:rFonts w:ascii="Arial" w:hAnsi="Arial" w:cs="Arial"/>
                <w:sz w:val="24"/>
                <w:szCs w:val="24"/>
                <w:lang w:val="ro-RO"/>
              </w:rPr>
            </w:pPr>
            <w:r>
              <w:rPr>
                <w:rFonts w:ascii="Arial" w:hAnsi="Arial" w:cs="Arial"/>
                <w:sz w:val="24"/>
                <w:szCs w:val="24"/>
                <w:lang w:val="ro-RO"/>
              </w:rPr>
              <w:t xml:space="preserve">Rata </w:t>
            </w:r>
            <w:r w:rsidR="00516050">
              <w:rPr>
                <w:rFonts w:ascii="Arial" w:hAnsi="Arial" w:cs="Arial"/>
                <w:sz w:val="24"/>
                <w:szCs w:val="24"/>
                <w:lang w:val="ro-RO"/>
              </w:rPr>
              <w:t>șomajului</w:t>
            </w:r>
            <w:r>
              <w:rPr>
                <w:rFonts w:ascii="Arial" w:hAnsi="Arial" w:cs="Arial"/>
                <w:sz w:val="24"/>
                <w:szCs w:val="24"/>
                <w:lang w:val="ro-RO"/>
              </w:rPr>
              <w:t xml:space="preserve"> î</w:t>
            </w:r>
            <w:r w:rsidR="002E0562" w:rsidRPr="00AD4510">
              <w:rPr>
                <w:rFonts w:ascii="Arial" w:hAnsi="Arial" w:cs="Arial"/>
                <w:sz w:val="24"/>
                <w:szCs w:val="24"/>
                <w:lang w:val="ro-RO"/>
              </w:rPr>
              <w:t xml:space="preserve">nregistrat la </w:t>
            </w:r>
            <w:r w:rsidR="00516050" w:rsidRPr="00AD4510">
              <w:rPr>
                <w:rFonts w:ascii="Arial" w:hAnsi="Arial" w:cs="Arial"/>
                <w:sz w:val="24"/>
                <w:szCs w:val="24"/>
                <w:lang w:val="ro-RO"/>
              </w:rPr>
              <w:t>sfârșitul</w:t>
            </w:r>
            <w:r w:rsidR="002E0562" w:rsidRPr="00AD4510">
              <w:rPr>
                <w:rFonts w:ascii="Arial" w:hAnsi="Arial" w:cs="Arial"/>
                <w:sz w:val="24"/>
                <w:szCs w:val="24"/>
                <w:lang w:val="ro-RO"/>
              </w:rPr>
              <w:t xml:space="preserve"> anului %</w:t>
            </w:r>
          </w:p>
        </w:tc>
        <w:tc>
          <w:tcPr>
            <w:tcW w:w="2187" w:type="dxa"/>
            <w:tcBorders>
              <w:top w:val="nil"/>
              <w:left w:val="nil"/>
              <w:right w:val="nil"/>
            </w:tcBorders>
            <w:shd w:val="clear" w:color="auto" w:fill="FFFFFF"/>
            <w:noWrap/>
            <w:vAlign w:val="bottom"/>
          </w:tcPr>
          <w:p w:rsidR="002E0562" w:rsidRPr="00AD4510" w:rsidRDefault="002E0562" w:rsidP="007B58FC">
            <w:pPr>
              <w:widowControl w:val="0"/>
              <w:spacing w:after="0" w:line="240" w:lineRule="auto"/>
              <w:jc w:val="right"/>
              <w:rPr>
                <w:rFonts w:ascii="Arial" w:hAnsi="Arial" w:cs="Arial"/>
                <w:sz w:val="24"/>
                <w:szCs w:val="24"/>
                <w:lang w:val="ro-RO"/>
              </w:rPr>
            </w:pPr>
            <w:r w:rsidRPr="00AD4510">
              <w:rPr>
                <w:rFonts w:ascii="Arial" w:hAnsi="Arial" w:cs="Arial"/>
                <w:sz w:val="24"/>
                <w:szCs w:val="24"/>
                <w:lang w:val="ro-RO"/>
              </w:rPr>
              <w:t>3,31</w:t>
            </w:r>
          </w:p>
        </w:tc>
        <w:tc>
          <w:tcPr>
            <w:tcW w:w="1939" w:type="dxa"/>
            <w:tcBorders>
              <w:top w:val="nil"/>
              <w:left w:val="nil"/>
              <w:right w:val="nil"/>
            </w:tcBorders>
            <w:shd w:val="clear" w:color="auto" w:fill="FFFFFF"/>
            <w:noWrap/>
            <w:vAlign w:val="bottom"/>
          </w:tcPr>
          <w:p w:rsidR="002E0562" w:rsidRPr="00AD4510" w:rsidRDefault="002E0562" w:rsidP="00116181">
            <w:pPr>
              <w:widowControl w:val="0"/>
              <w:spacing w:after="0" w:line="240" w:lineRule="auto"/>
              <w:jc w:val="right"/>
              <w:rPr>
                <w:rFonts w:ascii="Arial" w:hAnsi="Arial" w:cs="Arial"/>
                <w:sz w:val="24"/>
                <w:szCs w:val="24"/>
                <w:lang w:val="ro-RO"/>
              </w:rPr>
            </w:pPr>
            <w:r w:rsidRPr="00AD4510">
              <w:rPr>
                <w:rFonts w:ascii="Arial" w:hAnsi="Arial" w:cs="Arial"/>
                <w:sz w:val="24"/>
                <w:szCs w:val="24"/>
                <w:lang w:val="ro-RO"/>
              </w:rPr>
              <w:t>3,2</w:t>
            </w:r>
          </w:p>
        </w:tc>
      </w:tr>
      <w:tr w:rsidR="002E0562" w:rsidRPr="00AD4510" w:rsidTr="007B58FC">
        <w:trPr>
          <w:trHeight w:val="80"/>
        </w:trPr>
        <w:tc>
          <w:tcPr>
            <w:tcW w:w="5434" w:type="dxa"/>
            <w:tcBorders>
              <w:top w:val="nil"/>
              <w:left w:val="nil"/>
              <w:right w:val="nil"/>
            </w:tcBorders>
            <w:noWrap/>
            <w:vAlign w:val="bottom"/>
          </w:tcPr>
          <w:p w:rsidR="002E0562" w:rsidRPr="00AD4510" w:rsidRDefault="002E0562" w:rsidP="00116181">
            <w:pPr>
              <w:widowControl w:val="0"/>
              <w:spacing w:after="0" w:line="240" w:lineRule="auto"/>
              <w:rPr>
                <w:rFonts w:ascii="Arial" w:hAnsi="Arial" w:cs="Arial"/>
                <w:sz w:val="24"/>
                <w:szCs w:val="24"/>
                <w:lang w:val="ro-RO"/>
              </w:rPr>
            </w:pPr>
            <w:r w:rsidRPr="00AD4510">
              <w:rPr>
                <w:rFonts w:ascii="Arial" w:hAnsi="Arial" w:cs="Arial"/>
                <w:sz w:val="24"/>
                <w:szCs w:val="24"/>
                <w:lang w:val="ro-RO"/>
              </w:rPr>
              <w:t xml:space="preserve">Câştig salarial mediu brut -  lei </w:t>
            </w:r>
          </w:p>
        </w:tc>
        <w:tc>
          <w:tcPr>
            <w:tcW w:w="2187" w:type="dxa"/>
            <w:tcBorders>
              <w:top w:val="nil"/>
              <w:left w:val="nil"/>
              <w:right w:val="nil"/>
            </w:tcBorders>
            <w:shd w:val="clear" w:color="auto" w:fill="FFFFFF"/>
            <w:noWrap/>
            <w:vAlign w:val="bottom"/>
          </w:tcPr>
          <w:p w:rsidR="002E0562" w:rsidRPr="00AD4510" w:rsidRDefault="002E0562" w:rsidP="007B58FC">
            <w:pPr>
              <w:widowControl w:val="0"/>
              <w:spacing w:after="0" w:line="240" w:lineRule="auto"/>
              <w:jc w:val="right"/>
              <w:rPr>
                <w:rFonts w:ascii="Arial" w:hAnsi="Arial" w:cs="Arial"/>
                <w:sz w:val="24"/>
                <w:szCs w:val="24"/>
                <w:lang w:val="ro-RO"/>
              </w:rPr>
            </w:pPr>
            <w:r w:rsidRPr="00AD4510">
              <w:rPr>
                <w:rFonts w:ascii="Arial" w:hAnsi="Arial" w:cs="Arial"/>
                <w:sz w:val="24"/>
                <w:szCs w:val="24"/>
                <w:lang w:val="ro-RO"/>
              </w:rPr>
              <w:t>4.502</w:t>
            </w:r>
          </w:p>
        </w:tc>
        <w:tc>
          <w:tcPr>
            <w:tcW w:w="1939" w:type="dxa"/>
            <w:tcBorders>
              <w:top w:val="nil"/>
              <w:left w:val="nil"/>
              <w:right w:val="nil"/>
            </w:tcBorders>
            <w:shd w:val="clear" w:color="auto" w:fill="FFFFFF"/>
            <w:noWrap/>
            <w:vAlign w:val="bottom"/>
          </w:tcPr>
          <w:p w:rsidR="002E0562" w:rsidRPr="00AD4510" w:rsidRDefault="002E0562" w:rsidP="00116181">
            <w:pPr>
              <w:widowControl w:val="0"/>
              <w:spacing w:after="0" w:line="240" w:lineRule="auto"/>
              <w:jc w:val="right"/>
              <w:rPr>
                <w:rFonts w:ascii="Arial" w:hAnsi="Arial" w:cs="Arial"/>
                <w:sz w:val="24"/>
                <w:szCs w:val="24"/>
                <w:lang w:val="ro-RO"/>
              </w:rPr>
            </w:pPr>
            <w:r w:rsidRPr="00AD4510">
              <w:rPr>
                <w:rFonts w:ascii="Arial" w:hAnsi="Arial" w:cs="Arial"/>
                <w:sz w:val="24"/>
                <w:szCs w:val="24"/>
                <w:lang w:val="ro-RO"/>
              </w:rPr>
              <w:t>5.163</w:t>
            </w:r>
          </w:p>
        </w:tc>
      </w:tr>
      <w:tr w:rsidR="002E0562" w:rsidRPr="00AD4510" w:rsidTr="007B58FC">
        <w:trPr>
          <w:trHeight w:val="80"/>
        </w:trPr>
        <w:tc>
          <w:tcPr>
            <w:tcW w:w="5434" w:type="dxa"/>
            <w:tcBorders>
              <w:top w:val="nil"/>
              <w:left w:val="nil"/>
              <w:bottom w:val="nil"/>
              <w:right w:val="nil"/>
            </w:tcBorders>
            <w:noWrap/>
            <w:vAlign w:val="bottom"/>
          </w:tcPr>
          <w:p w:rsidR="002E0562" w:rsidRPr="00AD4510" w:rsidRDefault="002E0562" w:rsidP="00116181">
            <w:pPr>
              <w:widowControl w:val="0"/>
              <w:spacing w:after="0" w:line="240" w:lineRule="auto"/>
              <w:rPr>
                <w:rFonts w:ascii="Arial" w:hAnsi="Arial" w:cs="Arial"/>
                <w:sz w:val="24"/>
                <w:szCs w:val="24"/>
                <w:lang w:val="ro-RO"/>
              </w:rPr>
            </w:pPr>
            <w:r w:rsidRPr="00AD4510">
              <w:rPr>
                <w:rFonts w:ascii="Arial" w:hAnsi="Arial" w:cs="Arial"/>
                <w:sz w:val="24"/>
                <w:szCs w:val="24"/>
                <w:lang w:val="ro-RO"/>
              </w:rPr>
              <w:t xml:space="preserve">Câştig salarial mediu net - lei </w:t>
            </w:r>
          </w:p>
        </w:tc>
        <w:tc>
          <w:tcPr>
            <w:tcW w:w="2187" w:type="dxa"/>
            <w:tcBorders>
              <w:top w:val="nil"/>
              <w:left w:val="nil"/>
              <w:bottom w:val="nil"/>
              <w:right w:val="nil"/>
            </w:tcBorders>
            <w:shd w:val="clear" w:color="auto" w:fill="FFFFFF"/>
            <w:noWrap/>
            <w:vAlign w:val="bottom"/>
          </w:tcPr>
          <w:p w:rsidR="002E0562" w:rsidRPr="00AD4510" w:rsidRDefault="002E0562" w:rsidP="007B58FC">
            <w:pPr>
              <w:widowControl w:val="0"/>
              <w:spacing w:after="0" w:line="240" w:lineRule="auto"/>
              <w:jc w:val="right"/>
              <w:rPr>
                <w:rFonts w:ascii="Arial" w:hAnsi="Arial" w:cs="Arial"/>
                <w:sz w:val="24"/>
                <w:szCs w:val="24"/>
                <w:lang w:val="ro-RO"/>
              </w:rPr>
            </w:pPr>
            <w:r w:rsidRPr="00AD4510">
              <w:rPr>
                <w:rFonts w:ascii="Arial" w:hAnsi="Arial" w:cs="Arial"/>
                <w:sz w:val="24"/>
                <w:szCs w:val="24"/>
                <w:lang w:val="ro-RO"/>
              </w:rPr>
              <w:t> 2.685</w:t>
            </w:r>
          </w:p>
        </w:tc>
        <w:tc>
          <w:tcPr>
            <w:tcW w:w="1939" w:type="dxa"/>
            <w:tcBorders>
              <w:top w:val="nil"/>
              <w:left w:val="nil"/>
              <w:bottom w:val="nil"/>
              <w:right w:val="nil"/>
            </w:tcBorders>
            <w:shd w:val="clear" w:color="auto" w:fill="FFFFFF"/>
            <w:noWrap/>
            <w:vAlign w:val="bottom"/>
          </w:tcPr>
          <w:p w:rsidR="002E0562" w:rsidRPr="00AD4510" w:rsidRDefault="002E0562" w:rsidP="00116181">
            <w:pPr>
              <w:widowControl w:val="0"/>
              <w:spacing w:after="0" w:line="240" w:lineRule="auto"/>
              <w:jc w:val="right"/>
              <w:rPr>
                <w:rFonts w:ascii="Arial" w:hAnsi="Arial" w:cs="Arial"/>
                <w:sz w:val="24"/>
                <w:szCs w:val="24"/>
                <w:lang w:val="ro-RO"/>
              </w:rPr>
            </w:pPr>
            <w:r w:rsidRPr="00AD4510">
              <w:rPr>
                <w:rFonts w:ascii="Arial" w:hAnsi="Arial" w:cs="Arial"/>
                <w:sz w:val="24"/>
                <w:szCs w:val="24"/>
                <w:lang w:val="ro-RO"/>
              </w:rPr>
              <w:t>3.085</w:t>
            </w:r>
          </w:p>
        </w:tc>
      </w:tr>
      <w:tr w:rsidR="002E0562" w:rsidRPr="00AD4510" w:rsidTr="007B58FC">
        <w:trPr>
          <w:trHeight w:val="80"/>
        </w:trPr>
        <w:tc>
          <w:tcPr>
            <w:tcW w:w="5434" w:type="dxa"/>
            <w:tcBorders>
              <w:top w:val="nil"/>
              <w:left w:val="nil"/>
              <w:right w:val="nil"/>
            </w:tcBorders>
            <w:noWrap/>
            <w:vAlign w:val="bottom"/>
          </w:tcPr>
          <w:p w:rsidR="002E0562" w:rsidRPr="00AD4510" w:rsidRDefault="002E0562" w:rsidP="00116181">
            <w:pPr>
              <w:widowControl w:val="0"/>
              <w:spacing w:after="0" w:line="240" w:lineRule="auto"/>
              <w:rPr>
                <w:rFonts w:ascii="Arial" w:hAnsi="Arial" w:cs="Arial"/>
                <w:sz w:val="24"/>
                <w:szCs w:val="24"/>
                <w:lang w:val="ro-RO"/>
              </w:rPr>
            </w:pPr>
            <w:r w:rsidRPr="00AD4510">
              <w:rPr>
                <w:rFonts w:ascii="Arial" w:hAnsi="Arial" w:cs="Arial"/>
                <w:sz w:val="24"/>
                <w:szCs w:val="24"/>
                <w:lang w:val="ro-RO"/>
              </w:rPr>
              <w:t>Numar mediu de salariati – mii persoane</w:t>
            </w:r>
          </w:p>
        </w:tc>
        <w:tc>
          <w:tcPr>
            <w:tcW w:w="2187" w:type="dxa"/>
            <w:tcBorders>
              <w:top w:val="nil"/>
              <w:left w:val="nil"/>
              <w:right w:val="nil"/>
            </w:tcBorders>
            <w:shd w:val="clear" w:color="auto" w:fill="FFFFFF"/>
            <w:noWrap/>
            <w:vAlign w:val="bottom"/>
          </w:tcPr>
          <w:p w:rsidR="002E0562" w:rsidRPr="00AD4510" w:rsidRDefault="002E0562" w:rsidP="007B58FC">
            <w:pPr>
              <w:widowControl w:val="0"/>
              <w:spacing w:after="0" w:line="240" w:lineRule="auto"/>
              <w:jc w:val="right"/>
              <w:rPr>
                <w:rFonts w:ascii="Arial" w:hAnsi="Arial" w:cs="Arial"/>
                <w:sz w:val="24"/>
                <w:szCs w:val="24"/>
                <w:lang w:val="ro-RO"/>
              </w:rPr>
            </w:pPr>
            <w:r w:rsidRPr="00AD4510">
              <w:rPr>
                <w:rFonts w:ascii="Arial" w:hAnsi="Arial" w:cs="Arial"/>
                <w:sz w:val="24"/>
                <w:szCs w:val="24"/>
                <w:lang w:val="ro-RO"/>
              </w:rPr>
              <w:t>6.525</w:t>
            </w:r>
          </w:p>
        </w:tc>
        <w:tc>
          <w:tcPr>
            <w:tcW w:w="1939" w:type="dxa"/>
            <w:tcBorders>
              <w:top w:val="nil"/>
              <w:left w:val="nil"/>
              <w:right w:val="nil"/>
            </w:tcBorders>
            <w:shd w:val="clear" w:color="auto" w:fill="FFFFFF"/>
            <w:noWrap/>
            <w:vAlign w:val="bottom"/>
          </w:tcPr>
          <w:p w:rsidR="002E0562" w:rsidRPr="00AD4510" w:rsidRDefault="002E0562" w:rsidP="00116181">
            <w:pPr>
              <w:widowControl w:val="0"/>
              <w:spacing w:after="0" w:line="240" w:lineRule="auto"/>
              <w:jc w:val="right"/>
              <w:rPr>
                <w:rFonts w:ascii="Arial" w:hAnsi="Arial" w:cs="Arial"/>
                <w:sz w:val="24"/>
                <w:szCs w:val="24"/>
                <w:lang w:val="ro-RO"/>
              </w:rPr>
            </w:pPr>
            <w:r w:rsidRPr="00AD4510">
              <w:rPr>
                <w:rFonts w:ascii="Arial" w:hAnsi="Arial" w:cs="Arial"/>
                <w:sz w:val="24"/>
                <w:szCs w:val="24"/>
                <w:lang w:val="ro-RO"/>
              </w:rPr>
              <w:t>6.655</w:t>
            </w:r>
          </w:p>
        </w:tc>
      </w:tr>
    </w:tbl>
    <w:p w:rsidR="002E0562" w:rsidRPr="00AD4510" w:rsidRDefault="002E0562" w:rsidP="00DB5FA6">
      <w:pPr>
        <w:jc w:val="both"/>
        <w:rPr>
          <w:rFonts w:ascii="Arial" w:hAnsi="Arial" w:cs="Arial"/>
          <w:b/>
          <w:sz w:val="24"/>
          <w:szCs w:val="24"/>
          <w:lang w:val="ro-RO"/>
        </w:rPr>
      </w:pPr>
    </w:p>
    <w:p w:rsidR="002E0562" w:rsidRPr="00AD4510" w:rsidRDefault="002E0562" w:rsidP="00DB5FA6">
      <w:pPr>
        <w:jc w:val="both"/>
        <w:rPr>
          <w:rFonts w:ascii="Arial" w:hAnsi="Arial" w:cs="Arial"/>
          <w:sz w:val="24"/>
          <w:szCs w:val="24"/>
          <w:lang w:val="ro-RO"/>
        </w:rPr>
      </w:pPr>
      <w:r w:rsidRPr="00AD4510">
        <w:rPr>
          <w:rFonts w:ascii="Arial" w:hAnsi="Arial" w:cs="Arial"/>
          <w:b/>
          <w:sz w:val="24"/>
          <w:szCs w:val="24"/>
          <w:lang w:val="ro-RO"/>
        </w:rPr>
        <w:t>În anul 2019 deficitul bugetar (cash) este estimat la 2,55% din PIB</w:t>
      </w:r>
      <w:r w:rsidRPr="00AD4510">
        <w:rPr>
          <w:rFonts w:ascii="Arial" w:hAnsi="Arial" w:cs="Arial"/>
          <w:sz w:val="24"/>
          <w:szCs w:val="24"/>
          <w:lang w:val="ro-RO"/>
        </w:rPr>
        <w:t xml:space="preserve">, în timp ce </w:t>
      </w:r>
      <w:r w:rsidRPr="00AD4510">
        <w:rPr>
          <w:rFonts w:ascii="Arial" w:hAnsi="Arial" w:cs="Arial"/>
          <w:b/>
          <w:sz w:val="24"/>
          <w:szCs w:val="24"/>
          <w:lang w:val="ro-RO"/>
        </w:rPr>
        <w:t>deficitul ESA este de 2,57% din PIB</w:t>
      </w:r>
      <w:r w:rsidRPr="00AD4510">
        <w:rPr>
          <w:rFonts w:ascii="Arial" w:hAnsi="Arial" w:cs="Arial"/>
          <w:sz w:val="24"/>
          <w:szCs w:val="24"/>
          <w:lang w:val="ro-RO"/>
        </w:rPr>
        <w:t>, cu încadrare în ținta de deficit bugetar de sub 3% din PIB, potrivit Tratatului de la Maastricht.</w:t>
      </w:r>
    </w:p>
    <w:p w:rsidR="002E0562" w:rsidRPr="00AD4510" w:rsidRDefault="002E0562" w:rsidP="00E71094">
      <w:pPr>
        <w:rPr>
          <w:rFonts w:ascii="Arial" w:hAnsi="Arial" w:cs="Arial"/>
          <w:b/>
          <w:sz w:val="24"/>
          <w:lang w:val="ro-RO"/>
        </w:rPr>
      </w:pPr>
    </w:p>
    <w:p w:rsidR="00656592" w:rsidRDefault="00656592" w:rsidP="00E71094">
      <w:pPr>
        <w:rPr>
          <w:rFonts w:ascii="Arial" w:hAnsi="Arial" w:cs="Arial"/>
          <w:b/>
          <w:sz w:val="24"/>
          <w:lang w:val="ro-RO"/>
        </w:rPr>
      </w:pPr>
    </w:p>
    <w:p w:rsidR="002E0562" w:rsidRPr="00AD4510" w:rsidRDefault="002E0562" w:rsidP="00E71094">
      <w:pPr>
        <w:rPr>
          <w:rFonts w:ascii="Arial" w:hAnsi="Arial" w:cs="Arial"/>
          <w:b/>
          <w:sz w:val="24"/>
          <w:lang w:val="ro-RO"/>
        </w:rPr>
      </w:pPr>
      <w:r w:rsidRPr="00AD4510">
        <w:rPr>
          <w:rFonts w:ascii="Arial" w:hAnsi="Arial" w:cs="Arial"/>
          <w:b/>
          <w:sz w:val="24"/>
          <w:lang w:val="ro-RO"/>
        </w:rPr>
        <w:t>Datoria publică</w:t>
      </w:r>
    </w:p>
    <w:p w:rsidR="00516050" w:rsidRPr="002B2275" w:rsidRDefault="00516050" w:rsidP="002B2275">
      <w:pPr>
        <w:spacing w:before="120" w:after="120" w:line="240" w:lineRule="auto"/>
        <w:jc w:val="both"/>
        <w:rPr>
          <w:rFonts w:ascii="Arial" w:hAnsi="Arial" w:cs="Arial"/>
          <w:sz w:val="24"/>
          <w:lang w:val="ro-RO"/>
        </w:rPr>
      </w:pPr>
      <w:r w:rsidRPr="002B2275">
        <w:rPr>
          <w:rFonts w:ascii="Arial" w:hAnsi="Arial" w:cs="Arial"/>
          <w:sz w:val="24"/>
          <w:lang w:val="ro-RO"/>
        </w:rPr>
        <w:t xml:space="preserve">În anul 2017  România se situa pe locul 5 printre statele membre UE cu cel mai scăzut nivel de îndatorare, cu o valoare a datoriei publice în PIB de 35,1%, semnificativ sub nivelul înregistrat la nivelul zonei Euro (88,9% din PIB)  și Uniunii Europene (83,2% din PIB ). </w:t>
      </w:r>
    </w:p>
    <w:p w:rsidR="002E0562" w:rsidRPr="00AD4510" w:rsidRDefault="002E0562" w:rsidP="002B2275">
      <w:pPr>
        <w:pStyle w:val="ListParagraph"/>
        <w:spacing w:before="120" w:after="120" w:line="240" w:lineRule="auto"/>
        <w:ind w:left="0"/>
        <w:jc w:val="both"/>
        <w:rPr>
          <w:rFonts w:ascii="Arial" w:hAnsi="Arial" w:cs="Arial"/>
          <w:sz w:val="24"/>
          <w:lang w:val="ro-RO"/>
        </w:rPr>
      </w:pPr>
      <w:r w:rsidRPr="00AD4510">
        <w:rPr>
          <w:rFonts w:ascii="Arial" w:hAnsi="Arial" w:cs="Arial"/>
          <w:color w:val="000000"/>
          <w:sz w:val="24"/>
          <w:szCs w:val="24"/>
          <w:lang w:val="ro-RO"/>
        </w:rPr>
        <w:t>Nivelul estimat al datoriei guvernamentale brute pentru sfârşitul anului 2018 este de  34,9 % din PIB, iar pe termen mediu (2</w:t>
      </w:r>
      <w:r w:rsidR="00516050">
        <w:rPr>
          <w:rFonts w:ascii="Arial" w:hAnsi="Arial" w:cs="Arial"/>
          <w:color w:val="000000"/>
          <w:sz w:val="24"/>
          <w:szCs w:val="24"/>
          <w:lang w:val="ro-RO"/>
        </w:rPr>
        <w:t>019 - 2021) se va situa sub 40</w:t>
      </w:r>
      <w:r w:rsidRPr="00AD4510">
        <w:rPr>
          <w:rFonts w:ascii="Arial" w:hAnsi="Arial" w:cs="Arial"/>
          <w:color w:val="000000"/>
          <w:sz w:val="24"/>
          <w:szCs w:val="24"/>
          <w:lang w:val="ro-RO"/>
        </w:rPr>
        <w:t>% din PIB, nivel  net inferior plafonului de 60% stabilit prin Tratatul de la Maastricht</w:t>
      </w:r>
      <w:r w:rsidRPr="00AD4510">
        <w:rPr>
          <w:rFonts w:ascii="Arial" w:hAnsi="Arial" w:cs="Arial"/>
          <w:sz w:val="24"/>
          <w:lang w:val="ro-RO"/>
        </w:rPr>
        <w:t xml:space="preserve"> . </w:t>
      </w:r>
    </w:p>
    <w:p w:rsidR="002E0562" w:rsidRPr="00AD4510" w:rsidRDefault="002E0562" w:rsidP="002B2275">
      <w:pPr>
        <w:tabs>
          <w:tab w:val="left" w:pos="810"/>
        </w:tabs>
        <w:suppressAutoHyphens/>
        <w:spacing w:after="0" w:line="240" w:lineRule="auto"/>
        <w:contextualSpacing/>
        <w:jc w:val="both"/>
        <w:rPr>
          <w:rFonts w:ascii="Arial" w:hAnsi="Arial" w:cs="Arial"/>
          <w:color w:val="000000"/>
          <w:sz w:val="24"/>
          <w:szCs w:val="24"/>
          <w:lang w:val="ro-RO"/>
        </w:rPr>
      </w:pPr>
      <w:r w:rsidRPr="00AD4510">
        <w:rPr>
          <w:rFonts w:ascii="Arial" w:hAnsi="Arial" w:cs="Arial"/>
          <w:sz w:val="24"/>
          <w:lang w:val="ro-RO"/>
        </w:rPr>
        <w:t xml:space="preserve">Pentru anul 2019 se estimează un nivel  </w:t>
      </w:r>
      <w:r w:rsidRPr="00AD4510">
        <w:rPr>
          <w:rFonts w:ascii="Arial" w:hAnsi="Arial" w:cs="Arial"/>
          <w:color w:val="000000"/>
          <w:sz w:val="24"/>
          <w:szCs w:val="24"/>
          <w:lang w:val="ro-RO"/>
        </w:rPr>
        <w:t>al datoriei guvernamentale brute de 35,3%.</w:t>
      </w:r>
    </w:p>
    <w:p w:rsidR="002E0562" w:rsidRPr="00AD4510" w:rsidRDefault="002E0562" w:rsidP="002B2275">
      <w:pPr>
        <w:tabs>
          <w:tab w:val="left" w:pos="810"/>
        </w:tabs>
        <w:suppressAutoHyphens/>
        <w:spacing w:after="0" w:line="240" w:lineRule="auto"/>
        <w:contextualSpacing/>
        <w:jc w:val="both"/>
        <w:rPr>
          <w:rFonts w:ascii="Arial" w:hAnsi="Arial" w:cs="Arial"/>
          <w:color w:val="000000"/>
          <w:sz w:val="24"/>
          <w:szCs w:val="24"/>
          <w:lang w:val="ro-RO"/>
        </w:rPr>
      </w:pPr>
    </w:p>
    <w:p w:rsidR="002E0562" w:rsidRPr="00AD4510" w:rsidRDefault="002E0562" w:rsidP="00E71094">
      <w:pPr>
        <w:tabs>
          <w:tab w:val="left" w:pos="810"/>
        </w:tabs>
        <w:suppressAutoHyphens/>
        <w:spacing w:after="0" w:line="240" w:lineRule="auto"/>
        <w:contextualSpacing/>
        <w:jc w:val="both"/>
        <w:rPr>
          <w:rFonts w:ascii="Arial" w:hAnsi="Arial" w:cs="Arial"/>
          <w:color w:val="000000"/>
          <w:sz w:val="24"/>
          <w:szCs w:val="24"/>
          <w:lang w:val="ro-RO"/>
        </w:rPr>
      </w:pPr>
    </w:p>
    <w:p w:rsidR="002E0562" w:rsidRPr="00AD4510" w:rsidRDefault="002E0562" w:rsidP="00E71094">
      <w:pPr>
        <w:tabs>
          <w:tab w:val="left" w:pos="810"/>
        </w:tabs>
        <w:suppressAutoHyphens/>
        <w:spacing w:after="0" w:line="240" w:lineRule="auto"/>
        <w:contextualSpacing/>
        <w:jc w:val="both"/>
        <w:rPr>
          <w:rFonts w:ascii="Arial" w:hAnsi="Arial" w:cs="Arial"/>
          <w:b/>
          <w:bCs/>
          <w:i/>
          <w:color w:val="000000"/>
          <w:sz w:val="24"/>
          <w:szCs w:val="24"/>
          <w:u w:val="single"/>
          <w:lang w:val="ro-RO"/>
        </w:rPr>
      </w:pPr>
    </w:p>
    <w:p w:rsidR="002E0562" w:rsidRPr="00AD4510" w:rsidRDefault="002E0562" w:rsidP="00E71094">
      <w:pPr>
        <w:tabs>
          <w:tab w:val="left" w:pos="810"/>
        </w:tabs>
        <w:suppressAutoHyphens/>
        <w:spacing w:after="0" w:line="240" w:lineRule="auto"/>
        <w:contextualSpacing/>
        <w:jc w:val="both"/>
        <w:rPr>
          <w:rFonts w:ascii="Arial" w:hAnsi="Arial" w:cs="Arial"/>
          <w:b/>
          <w:bCs/>
          <w:color w:val="000000"/>
          <w:sz w:val="24"/>
          <w:szCs w:val="24"/>
          <w:lang w:val="ro-RO"/>
        </w:rPr>
      </w:pPr>
      <w:r w:rsidRPr="00AD4510">
        <w:rPr>
          <w:rFonts w:ascii="Arial" w:hAnsi="Arial" w:cs="Arial"/>
          <w:b/>
          <w:bCs/>
          <w:i/>
          <w:color w:val="000000"/>
          <w:sz w:val="24"/>
          <w:szCs w:val="24"/>
          <w:u w:val="single"/>
          <w:lang w:val="ro-RO"/>
        </w:rPr>
        <w:t>Veniturile bugetului general consolidat proiectate pentru 2019</w:t>
      </w:r>
      <w:r w:rsidRPr="00AD4510">
        <w:rPr>
          <w:rFonts w:ascii="Arial" w:hAnsi="Arial" w:cs="Arial"/>
          <w:b/>
          <w:bCs/>
          <w:color w:val="000000"/>
          <w:sz w:val="24"/>
          <w:szCs w:val="24"/>
          <w:lang w:val="ro-RO"/>
        </w:rPr>
        <w:t xml:space="preserve"> sunt estimate la 341,4 m</w:t>
      </w:r>
      <w:r w:rsidR="00521005">
        <w:rPr>
          <w:rFonts w:ascii="Arial" w:hAnsi="Arial" w:cs="Arial"/>
          <w:b/>
          <w:bCs/>
          <w:color w:val="000000"/>
          <w:sz w:val="24"/>
          <w:szCs w:val="24"/>
          <w:lang w:val="ro-RO"/>
        </w:rPr>
        <w:t xml:space="preserve">iliarde de </w:t>
      </w:r>
      <w:r w:rsidRPr="00AD4510">
        <w:rPr>
          <w:rFonts w:ascii="Arial" w:hAnsi="Arial" w:cs="Arial"/>
          <w:b/>
          <w:bCs/>
          <w:color w:val="000000"/>
          <w:sz w:val="24"/>
          <w:szCs w:val="24"/>
          <w:lang w:val="ro-RO"/>
        </w:rPr>
        <w:t xml:space="preserve">lei, respectiv 33,4% din PIB. Cele mai mari venituri sunt înregistrate la contribuțiile de asigurări sociale, 11,5%, </w:t>
      </w:r>
      <w:r w:rsidR="00516050">
        <w:rPr>
          <w:rFonts w:ascii="Arial" w:hAnsi="Arial" w:cs="Arial"/>
          <w:b/>
          <w:bCs/>
          <w:color w:val="000000"/>
          <w:sz w:val="24"/>
          <w:szCs w:val="24"/>
          <w:lang w:val="ro-RO"/>
        </w:rPr>
        <w:t>TVA, 6,8 %, accize</w:t>
      </w:r>
      <w:r w:rsidRPr="00AD4510">
        <w:rPr>
          <w:rFonts w:ascii="Arial" w:hAnsi="Arial" w:cs="Arial"/>
          <w:b/>
          <w:bCs/>
          <w:color w:val="000000"/>
          <w:sz w:val="24"/>
          <w:szCs w:val="24"/>
          <w:lang w:val="ro-RO"/>
        </w:rPr>
        <w:t xml:space="preserve"> 3%, impozit pe salarii și pe venit 2,3 % din PIB. </w:t>
      </w:r>
    </w:p>
    <w:p w:rsidR="002E0562" w:rsidRPr="00AD4510" w:rsidRDefault="002E0562" w:rsidP="00DB5FA6">
      <w:pPr>
        <w:widowControl w:val="0"/>
        <w:tabs>
          <w:tab w:val="num" w:pos="1920"/>
        </w:tabs>
        <w:spacing w:before="120"/>
        <w:jc w:val="both"/>
        <w:rPr>
          <w:rFonts w:ascii="Arial" w:hAnsi="Arial" w:cs="Arial"/>
          <w:b/>
          <w:sz w:val="24"/>
          <w:szCs w:val="24"/>
          <w:lang w:val="ro-RO"/>
        </w:rPr>
      </w:pPr>
    </w:p>
    <w:p w:rsidR="002E0562" w:rsidRDefault="002E0562" w:rsidP="00DB5FA6">
      <w:pPr>
        <w:jc w:val="both"/>
        <w:rPr>
          <w:rFonts w:ascii="Arial" w:hAnsi="Arial" w:cs="Arial"/>
          <w:b/>
          <w:sz w:val="24"/>
          <w:szCs w:val="24"/>
          <w:lang w:val="ro-RO"/>
        </w:rPr>
      </w:pPr>
      <w:r w:rsidRPr="00AD4510">
        <w:rPr>
          <w:rFonts w:ascii="Arial" w:hAnsi="Arial" w:cs="Arial"/>
          <w:b/>
          <w:i/>
          <w:sz w:val="24"/>
          <w:szCs w:val="24"/>
          <w:u w:val="single"/>
          <w:lang w:val="ro-RO"/>
        </w:rPr>
        <w:t>Cheltuielile bugetului general consolidat</w:t>
      </w:r>
      <w:r w:rsidRPr="00AD4510">
        <w:rPr>
          <w:rFonts w:ascii="Arial" w:hAnsi="Arial" w:cs="Arial"/>
          <w:b/>
          <w:sz w:val="24"/>
          <w:szCs w:val="24"/>
          <w:lang w:val="ro-RO"/>
        </w:rPr>
        <w:t xml:space="preserve"> pentru anul 2019 sunt</w:t>
      </w:r>
      <w:r w:rsidR="00521005">
        <w:rPr>
          <w:rFonts w:ascii="Arial" w:hAnsi="Arial" w:cs="Arial"/>
          <w:b/>
          <w:sz w:val="24"/>
          <w:szCs w:val="24"/>
          <w:lang w:val="ro-RO"/>
        </w:rPr>
        <w:t xml:space="preserve"> estimate la 367,5 miliarde lei</w:t>
      </w:r>
      <w:r w:rsidRPr="00AD4510">
        <w:rPr>
          <w:rFonts w:ascii="Arial" w:hAnsi="Arial" w:cs="Arial"/>
          <w:b/>
          <w:sz w:val="24"/>
          <w:szCs w:val="24"/>
          <w:lang w:val="ro-RO"/>
        </w:rPr>
        <w:t>, ceea ce reprezintă 35,9% din PIB.</w:t>
      </w:r>
    </w:p>
    <w:p w:rsidR="00521005" w:rsidRPr="00AD4510" w:rsidRDefault="00521005" w:rsidP="00DB5FA6">
      <w:pPr>
        <w:jc w:val="both"/>
        <w:rPr>
          <w:rFonts w:ascii="Arial" w:hAnsi="Arial" w:cs="Arial"/>
          <w:b/>
          <w:sz w:val="24"/>
          <w:szCs w:val="24"/>
          <w:lang w:val="ro-RO"/>
        </w:rPr>
      </w:pPr>
    </w:p>
    <w:p w:rsidR="002E0562" w:rsidRPr="00AD4510" w:rsidRDefault="002E0562" w:rsidP="00DB5FA6">
      <w:pPr>
        <w:jc w:val="both"/>
        <w:rPr>
          <w:rFonts w:ascii="Arial" w:hAnsi="Arial" w:cs="Arial"/>
          <w:b/>
          <w:sz w:val="24"/>
          <w:szCs w:val="24"/>
          <w:lang w:val="ro-RO"/>
        </w:rPr>
      </w:pPr>
      <w:r w:rsidRPr="00AD4510">
        <w:rPr>
          <w:rFonts w:ascii="Arial" w:hAnsi="Arial" w:cs="Arial"/>
          <w:b/>
          <w:sz w:val="24"/>
          <w:szCs w:val="24"/>
          <w:lang w:val="ro-RO"/>
        </w:rPr>
        <w:t xml:space="preserve">Cele mai mari ponderi </w:t>
      </w:r>
      <w:r w:rsidR="00521005">
        <w:rPr>
          <w:rFonts w:ascii="Arial" w:hAnsi="Arial" w:cs="Arial"/>
          <w:b/>
          <w:sz w:val="24"/>
          <w:szCs w:val="24"/>
          <w:lang w:val="ro-RO"/>
        </w:rPr>
        <w:t>în PIB</w:t>
      </w:r>
      <w:r w:rsidRPr="00AD4510">
        <w:rPr>
          <w:rFonts w:ascii="Arial" w:hAnsi="Arial" w:cs="Arial"/>
          <w:b/>
          <w:sz w:val="24"/>
          <w:szCs w:val="24"/>
          <w:lang w:val="ro-RO"/>
        </w:rPr>
        <w:t xml:space="preserve"> </w:t>
      </w:r>
      <w:r w:rsidR="00521005">
        <w:rPr>
          <w:rFonts w:ascii="Arial" w:hAnsi="Arial" w:cs="Arial"/>
          <w:b/>
          <w:sz w:val="24"/>
          <w:szCs w:val="24"/>
          <w:lang w:val="ro-RO"/>
        </w:rPr>
        <w:t>le au:</w:t>
      </w:r>
    </w:p>
    <w:p w:rsidR="002E0562" w:rsidRPr="00AD4510" w:rsidRDefault="002E0562" w:rsidP="00E71094">
      <w:pPr>
        <w:pStyle w:val="ListParagraph"/>
        <w:autoSpaceDE w:val="0"/>
        <w:autoSpaceDN w:val="0"/>
        <w:adjustRightInd w:val="0"/>
        <w:spacing w:before="120" w:after="120" w:line="269" w:lineRule="auto"/>
        <w:jc w:val="both"/>
        <w:rPr>
          <w:rFonts w:ascii="Arial" w:hAnsi="Arial" w:cs="Arial"/>
          <w:color w:val="000000"/>
          <w:sz w:val="24"/>
          <w:szCs w:val="24"/>
          <w:lang w:val="ro-RO"/>
        </w:rPr>
      </w:pPr>
    </w:p>
    <w:p w:rsidR="002E0562" w:rsidRPr="00AD4510" w:rsidRDefault="002E0562" w:rsidP="00DC00BE">
      <w:pPr>
        <w:pStyle w:val="ListParagraph"/>
        <w:numPr>
          <w:ilvl w:val="0"/>
          <w:numId w:val="17"/>
        </w:numPr>
        <w:autoSpaceDE w:val="0"/>
        <w:autoSpaceDN w:val="0"/>
        <w:adjustRightInd w:val="0"/>
        <w:spacing w:before="120" w:after="120" w:line="269" w:lineRule="auto"/>
        <w:jc w:val="both"/>
        <w:rPr>
          <w:rFonts w:ascii="Arial" w:hAnsi="Arial" w:cs="Arial"/>
          <w:color w:val="000000"/>
          <w:sz w:val="24"/>
          <w:szCs w:val="24"/>
          <w:lang w:val="ro-RO"/>
        </w:rPr>
      </w:pPr>
      <w:r w:rsidRPr="00AD4510">
        <w:rPr>
          <w:rFonts w:ascii="Arial" w:hAnsi="Arial" w:cs="Arial"/>
          <w:color w:val="000000"/>
          <w:sz w:val="24"/>
          <w:szCs w:val="24"/>
          <w:lang w:val="ro-RO"/>
        </w:rPr>
        <w:t xml:space="preserve">Cheltuielile cu </w:t>
      </w:r>
      <w:r w:rsidR="00015F6D">
        <w:rPr>
          <w:rFonts w:ascii="Arial" w:hAnsi="Arial" w:cs="Arial"/>
          <w:color w:val="000000"/>
          <w:sz w:val="24"/>
          <w:szCs w:val="24"/>
          <w:lang w:val="ro-RO"/>
        </w:rPr>
        <w:t>asistența</w:t>
      </w:r>
      <w:r w:rsidRPr="00AD4510">
        <w:rPr>
          <w:rFonts w:ascii="Arial" w:hAnsi="Arial" w:cs="Arial"/>
          <w:color w:val="000000"/>
          <w:sz w:val="24"/>
          <w:szCs w:val="24"/>
          <w:lang w:val="ro-RO"/>
        </w:rPr>
        <w:t xml:space="preserve"> socială </w:t>
      </w:r>
      <w:r w:rsidR="00015F6D">
        <w:rPr>
          <w:rFonts w:ascii="Arial" w:hAnsi="Arial" w:cs="Arial"/>
          <w:color w:val="000000"/>
          <w:sz w:val="24"/>
          <w:szCs w:val="24"/>
          <w:lang w:val="ro-RO"/>
        </w:rPr>
        <w:t>-</w:t>
      </w:r>
      <w:r w:rsidRPr="00AD4510">
        <w:rPr>
          <w:rFonts w:ascii="Arial" w:hAnsi="Arial" w:cs="Arial"/>
          <w:color w:val="000000"/>
          <w:sz w:val="24"/>
          <w:szCs w:val="24"/>
          <w:lang w:val="ro-RO"/>
        </w:rPr>
        <w:t xml:space="preserve"> estimate la 109,8 miliarde lei, respectiv 10,7% din PIB (se </w:t>
      </w:r>
      <w:r w:rsidR="00F816CA" w:rsidRPr="00AD4510">
        <w:rPr>
          <w:rFonts w:ascii="Arial" w:hAnsi="Arial" w:cs="Arial"/>
          <w:color w:val="000000"/>
          <w:sz w:val="24"/>
          <w:szCs w:val="24"/>
          <w:lang w:val="ro-RO"/>
        </w:rPr>
        <w:t>mențin</w:t>
      </w:r>
      <w:r w:rsidRPr="00AD4510">
        <w:rPr>
          <w:rFonts w:ascii="Arial" w:hAnsi="Arial" w:cs="Arial"/>
          <w:color w:val="000000"/>
          <w:sz w:val="24"/>
          <w:szCs w:val="24"/>
          <w:lang w:val="ro-RO"/>
        </w:rPr>
        <w:t xml:space="preserve"> </w:t>
      </w:r>
      <w:r w:rsidR="00015F6D">
        <w:rPr>
          <w:rFonts w:ascii="Arial" w:hAnsi="Arial" w:cs="Arial"/>
          <w:color w:val="000000"/>
          <w:sz w:val="24"/>
          <w:szCs w:val="24"/>
          <w:lang w:val="ro-RO"/>
        </w:rPr>
        <w:t xml:space="preserve">la </w:t>
      </w:r>
      <w:r w:rsidR="00F816CA" w:rsidRPr="00AD4510">
        <w:rPr>
          <w:rFonts w:ascii="Arial" w:hAnsi="Arial" w:cs="Arial"/>
          <w:color w:val="000000"/>
          <w:sz w:val="24"/>
          <w:szCs w:val="24"/>
          <w:lang w:val="ro-RO"/>
        </w:rPr>
        <w:t>aceeași</w:t>
      </w:r>
      <w:r w:rsidRPr="00AD4510">
        <w:rPr>
          <w:rFonts w:ascii="Arial" w:hAnsi="Arial" w:cs="Arial"/>
          <w:color w:val="000000"/>
          <w:sz w:val="24"/>
          <w:szCs w:val="24"/>
          <w:lang w:val="ro-RO"/>
        </w:rPr>
        <w:t xml:space="preserve"> pondere ca şi în anul 2018);</w:t>
      </w:r>
    </w:p>
    <w:p w:rsidR="002E0562" w:rsidRPr="00AD4510" w:rsidRDefault="002E0562" w:rsidP="00E71094">
      <w:pPr>
        <w:pStyle w:val="ListParagraph"/>
        <w:numPr>
          <w:ilvl w:val="0"/>
          <w:numId w:val="17"/>
        </w:numPr>
        <w:autoSpaceDE w:val="0"/>
        <w:autoSpaceDN w:val="0"/>
        <w:adjustRightInd w:val="0"/>
        <w:spacing w:before="120" w:after="120" w:line="269" w:lineRule="auto"/>
        <w:jc w:val="both"/>
        <w:rPr>
          <w:rFonts w:ascii="Arial" w:hAnsi="Arial" w:cs="Arial"/>
          <w:color w:val="000000"/>
          <w:sz w:val="24"/>
          <w:szCs w:val="24"/>
          <w:lang w:val="ro-RO"/>
        </w:rPr>
      </w:pPr>
      <w:r w:rsidRPr="00AD4510">
        <w:rPr>
          <w:rFonts w:ascii="Arial" w:hAnsi="Arial" w:cs="Arial"/>
          <w:color w:val="000000"/>
          <w:sz w:val="24"/>
          <w:szCs w:val="24"/>
          <w:lang w:val="ro-RO"/>
        </w:rPr>
        <w:t xml:space="preserve">Cheltuielile de personal </w:t>
      </w:r>
      <w:r w:rsidR="00015F6D">
        <w:rPr>
          <w:rFonts w:ascii="Arial" w:hAnsi="Arial" w:cs="Arial"/>
          <w:color w:val="000000"/>
          <w:sz w:val="24"/>
          <w:szCs w:val="24"/>
          <w:lang w:val="ro-RO"/>
        </w:rPr>
        <w:t xml:space="preserve">– </w:t>
      </w:r>
      <w:r w:rsidRPr="00AD4510">
        <w:rPr>
          <w:rFonts w:ascii="Arial" w:hAnsi="Arial" w:cs="Arial"/>
          <w:color w:val="000000"/>
          <w:sz w:val="24"/>
          <w:szCs w:val="24"/>
          <w:lang w:val="ro-RO"/>
        </w:rPr>
        <w:t>în</w:t>
      </w:r>
      <w:r w:rsidR="00015F6D">
        <w:rPr>
          <w:rFonts w:ascii="Arial" w:hAnsi="Arial" w:cs="Arial"/>
          <w:color w:val="000000"/>
          <w:sz w:val="24"/>
          <w:szCs w:val="24"/>
          <w:lang w:val="ro-RO"/>
        </w:rPr>
        <w:t xml:space="preserve"> </w:t>
      </w:r>
      <w:r w:rsidRPr="00AD4510">
        <w:rPr>
          <w:rFonts w:ascii="Arial" w:hAnsi="Arial" w:cs="Arial"/>
          <w:color w:val="000000"/>
          <w:sz w:val="24"/>
          <w:szCs w:val="24"/>
          <w:lang w:val="ro-RO"/>
        </w:rPr>
        <w:t xml:space="preserve">sumă </w:t>
      </w:r>
      <w:r w:rsidR="00015F6D">
        <w:rPr>
          <w:rFonts w:ascii="Arial" w:hAnsi="Arial" w:cs="Arial"/>
          <w:color w:val="000000"/>
          <w:sz w:val="24"/>
          <w:szCs w:val="24"/>
          <w:lang w:val="ro-RO"/>
        </w:rPr>
        <w:t>de 102,5 miliarde lei (</w:t>
      </w:r>
      <w:r w:rsidRPr="00AD4510">
        <w:rPr>
          <w:rFonts w:ascii="Arial" w:hAnsi="Arial" w:cs="Arial"/>
          <w:color w:val="000000"/>
          <w:sz w:val="24"/>
          <w:szCs w:val="24"/>
          <w:lang w:val="ro-RO"/>
        </w:rPr>
        <w:t>10% din PIB),  pe fondul aplicării Legii cadru privind salarizarea personalului plătit din fonduri publice, însă pe orizontul de referință</w:t>
      </w:r>
      <w:r w:rsidR="00015F6D">
        <w:rPr>
          <w:rFonts w:ascii="Arial" w:hAnsi="Arial" w:cs="Arial"/>
          <w:color w:val="000000"/>
          <w:sz w:val="24"/>
          <w:szCs w:val="24"/>
          <w:lang w:val="ro-RO"/>
        </w:rPr>
        <w:t xml:space="preserve"> se înregistrează o traiectorie </w:t>
      </w:r>
      <w:r w:rsidRPr="00AD4510">
        <w:rPr>
          <w:rFonts w:ascii="Arial" w:hAnsi="Arial" w:cs="Arial"/>
          <w:color w:val="000000"/>
          <w:sz w:val="24"/>
          <w:szCs w:val="24"/>
          <w:lang w:val="ro-RO"/>
        </w:rPr>
        <w:t>d</w:t>
      </w:r>
      <w:r w:rsidR="00015F6D">
        <w:rPr>
          <w:rFonts w:ascii="Arial" w:hAnsi="Arial" w:cs="Arial"/>
          <w:color w:val="000000"/>
          <w:sz w:val="24"/>
          <w:szCs w:val="24"/>
          <w:lang w:val="ro-RO"/>
        </w:rPr>
        <w:t>escendentă a ponderii acestora î</w:t>
      </w:r>
      <w:r w:rsidRPr="00AD4510">
        <w:rPr>
          <w:rFonts w:ascii="Arial" w:hAnsi="Arial" w:cs="Arial"/>
          <w:color w:val="000000"/>
          <w:sz w:val="24"/>
          <w:szCs w:val="24"/>
          <w:lang w:val="ro-RO"/>
        </w:rPr>
        <w:t>n PIB;</w:t>
      </w:r>
    </w:p>
    <w:p w:rsidR="002E0562" w:rsidRPr="00AD4510" w:rsidRDefault="00015F6D" w:rsidP="00A9162F">
      <w:pPr>
        <w:pStyle w:val="ListParagraph"/>
        <w:numPr>
          <w:ilvl w:val="0"/>
          <w:numId w:val="17"/>
        </w:numPr>
        <w:autoSpaceDE w:val="0"/>
        <w:autoSpaceDN w:val="0"/>
        <w:adjustRightInd w:val="0"/>
        <w:spacing w:before="120" w:after="120" w:line="269" w:lineRule="auto"/>
        <w:jc w:val="both"/>
        <w:rPr>
          <w:rFonts w:ascii="Arial" w:hAnsi="Arial" w:cs="Arial"/>
          <w:color w:val="000000"/>
          <w:sz w:val="24"/>
          <w:szCs w:val="24"/>
          <w:lang w:val="ro-RO"/>
        </w:rPr>
      </w:pPr>
      <w:r>
        <w:rPr>
          <w:rFonts w:ascii="Arial" w:hAnsi="Arial" w:cs="Arial"/>
          <w:color w:val="000000"/>
          <w:sz w:val="24"/>
          <w:szCs w:val="24"/>
          <w:lang w:val="ro-RO"/>
        </w:rPr>
        <w:t>Cheltuielile cu bunuri</w:t>
      </w:r>
      <w:r w:rsidRPr="00AD4510">
        <w:rPr>
          <w:rFonts w:ascii="Arial" w:hAnsi="Arial" w:cs="Arial"/>
          <w:color w:val="000000"/>
          <w:sz w:val="24"/>
          <w:szCs w:val="24"/>
          <w:lang w:val="ro-RO"/>
        </w:rPr>
        <w:t xml:space="preserve"> </w:t>
      </w:r>
      <w:r w:rsidR="002E0562" w:rsidRPr="00AD4510">
        <w:rPr>
          <w:rFonts w:ascii="Arial" w:hAnsi="Arial" w:cs="Arial"/>
          <w:color w:val="000000"/>
          <w:sz w:val="24"/>
          <w:szCs w:val="24"/>
          <w:lang w:val="ro-RO"/>
        </w:rPr>
        <w:t>ș</w:t>
      </w:r>
      <w:r>
        <w:rPr>
          <w:rFonts w:ascii="Arial" w:hAnsi="Arial" w:cs="Arial"/>
          <w:color w:val="000000"/>
          <w:sz w:val="24"/>
          <w:szCs w:val="24"/>
          <w:lang w:val="ro-RO"/>
        </w:rPr>
        <w:t>i servicii</w:t>
      </w:r>
      <w:r w:rsidR="002E0562" w:rsidRPr="00AD4510">
        <w:rPr>
          <w:rFonts w:ascii="Arial" w:hAnsi="Arial" w:cs="Arial"/>
          <w:color w:val="000000"/>
          <w:sz w:val="24"/>
          <w:szCs w:val="24"/>
          <w:lang w:val="ro-RO"/>
        </w:rPr>
        <w:t xml:space="preserve"> </w:t>
      </w:r>
      <w:r>
        <w:rPr>
          <w:rFonts w:ascii="Arial" w:hAnsi="Arial" w:cs="Arial"/>
          <w:color w:val="000000"/>
          <w:sz w:val="24"/>
          <w:szCs w:val="24"/>
          <w:lang w:val="ro-RO"/>
        </w:rPr>
        <w:t xml:space="preserve">- </w:t>
      </w:r>
      <w:r w:rsidR="002E0562" w:rsidRPr="00AD4510">
        <w:rPr>
          <w:rFonts w:ascii="Arial" w:hAnsi="Arial" w:cs="Arial"/>
          <w:color w:val="000000"/>
          <w:sz w:val="24"/>
          <w:szCs w:val="24"/>
          <w:lang w:val="ro-RO"/>
        </w:rPr>
        <w:t>e</w:t>
      </w:r>
      <w:r>
        <w:rPr>
          <w:rFonts w:ascii="Arial" w:hAnsi="Arial" w:cs="Arial"/>
          <w:color w:val="000000"/>
          <w:sz w:val="24"/>
          <w:szCs w:val="24"/>
          <w:lang w:val="ro-RO"/>
        </w:rPr>
        <w:t>stimate la  46,5 miliarde lei (</w:t>
      </w:r>
      <w:r w:rsidR="002E0562" w:rsidRPr="00AD4510">
        <w:rPr>
          <w:rFonts w:ascii="Arial" w:hAnsi="Arial" w:cs="Arial"/>
          <w:color w:val="000000"/>
          <w:sz w:val="24"/>
          <w:szCs w:val="24"/>
          <w:lang w:val="ro-RO"/>
        </w:rPr>
        <w:t xml:space="preserve">4,5% din PIB), în creştere cu 1,8 miliarde lei faţă de cele efectuate în anul 2018; din această </w:t>
      </w:r>
      <w:r w:rsidR="00F816CA" w:rsidRPr="00AD4510">
        <w:rPr>
          <w:rFonts w:ascii="Arial" w:hAnsi="Arial" w:cs="Arial"/>
          <w:color w:val="000000"/>
          <w:sz w:val="24"/>
          <w:szCs w:val="24"/>
          <w:lang w:val="ro-RO"/>
        </w:rPr>
        <w:t>creștere</w:t>
      </w:r>
      <w:r w:rsidR="002E0562" w:rsidRPr="00AD4510">
        <w:rPr>
          <w:rFonts w:ascii="Arial" w:hAnsi="Arial" w:cs="Arial"/>
          <w:color w:val="000000"/>
          <w:sz w:val="24"/>
          <w:szCs w:val="24"/>
          <w:lang w:val="ro-RO"/>
        </w:rPr>
        <w:t xml:space="preserve"> 1,5 miliarde</w:t>
      </w:r>
      <w:r w:rsidR="00F816CA">
        <w:rPr>
          <w:rFonts w:ascii="Arial" w:hAnsi="Arial" w:cs="Arial"/>
          <w:color w:val="000000"/>
          <w:sz w:val="24"/>
          <w:szCs w:val="24"/>
          <w:lang w:val="ro-RO"/>
        </w:rPr>
        <w:t xml:space="preserve"> de lei</w:t>
      </w:r>
      <w:r w:rsidR="002E0562" w:rsidRPr="00AD4510">
        <w:rPr>
          <w:rFonts w:ascii="Arial" w:hAnsi="Arial" w:cs="Arial"/>
          <w:color w:val="000000"/>
          <w:sz w:val="24"/>
          <w:szCs w:val="24"/>
          <w:lang w:val="ro-RO"/>
        </w:rPr>
        <w:t xml:space="preserve"> reprezintă bugetul Fondului </w:t>
      </w:r>
      <w:r w:rsidR="00F816CA" w:rsidRPr="00AD4510">
        <w:rPr>
          <w:rFonts w:ascii="Arial" w:hAnsi="Arial" w:cs="Arial"/>
          <w:color w:val="000000"/>
          <w:sz w:val="24"/>
          <w:szCs w:val="24"/>
          <w:lang w:val="ro-RO"/>
        </w:rPr>
        <w:t>Național</w:t>
      </w:r>
      <w:r w:rsidR="002E0562" w:rsidRPr="00AD4510">
        <w:rPr>
          <w:rFonts w:ascii="Arial" w:hAnsi="Arial" w:cs="Arial"/>
          <w:color w:val="000000"/>
          <w:sz w:val="24"/>
          <w:szCs w:val="24"/>
          <w:lang w:val="ro-RO"/>
        </w:rPr>
        <w:t xml:space="preserve"> </w:t>
      </w:r>
      <w:r>
        <w:rPr>
          <w:rFonts w:ascii="Arial" w:hAnsi="Arial" w:cs="Arial"/>
          <w:color w:val="000000"/>
          <w:sz w:val="24"/>
          <w:szCs w:val="24"/>
          <w:lang w:val="ro-RO"/>
        </w:rPr>
        <w:t>Unic</w:t>
      </w:r>
      <w:r w:rsidR="002E0562" w:rsidRPr="00AD4510">
        <w:rPr>
          <w:rFonts w:ascii="Arial" w:hAnsi="Arial" w:cs="Arial"/>
          <w:color w:val="000000"/>
          <w:sz w:val="24"/>
          <w:szCs w:val="24"/>
          <w:lang w:val="ro-RO"/>
        </w:rPr>
        <w:t xml:space="preserve"> de Asigurări Sociale de Sănătate; </w:t>
      </w:r>
    </w:p>
    <w:p w:rsidR="002E0562" w:rsidRPr="00AD4510" w:rsidRDefault="002E0562" w:rsidP="0067712F">
      <w:pPr>
        <w:pStyle w:val="ListParagraph"/>
        <w:widowControl w:val="0"/>
        <w:numPr>
          <w:ilvl w:val="0"/>
          <w:numId w:val="17"/>
        </w:numPr>
        <w:spacing w:before="40" w:after="100" w:line="269" w:lineRule="auto"/>
        <w:jc w:val="both"/>
        <w:rPr>
          <w:rFonts w:ascii="Arial" w:hAnsi="Arial" w:cs="Arial"/>
          <w:color w:val="000000"/>
          <w:sz w:val="24"/>
          <w:szCs w:val="24"/>
          <w:lang w:val="ro-RO"/>
        </w:rPr>
      </w:pPr>
      <w:r w:rsidRPr="00AD4510">
        <w:rPr>
          <w:rFonts w:ascii="Arial" w:hAnsi="Arial" w:cs="Arial"/>
          <w:color w:val="000000"/>
          <w:sz w:val="24"/>
          <w:szCs w:val="24"/>
          <w:lang w:val="ro-RO"/>
        </w:rPr>
        <w:t>Cheltuielile cu investiț</w:t>
      </w:r>
      <w:r w:rsidR="00015F6D">
        <w:rPr>
          <w:rFonts w:ascii="Arial" w:hAnsi="Arial" w:cs="Arial"/>
          <w:color w:val="000000"/>
          <w:sz w:val="24"/>
          <w:szCs w:val="24"/>
          <w:lang w:val="ro-RO"/>
        </w:rPr>
        <w:t>iile - preconizate la 46,8 miliarde lei (4,57 % din PIB), î</w:t>
      </w:r>
      <w:r w:rsidRPr="00AD4510">
        <w:rPr>
          <w:rFonts w:ascii="Arial" w:hAnsi="Arial" w:cs="Arial"/>
          <w:color w:val="000000"/>
          <w:sz w:val="24"/>
          <w:szCs w:val="24"/>
          <w:lang w:val="ro-RO"/>
        </w:rPr>
        <w:t>n</w:t>
      </w:r>
      <w:r w:rsidR="00015F6D">
        <w:rPr>
          <w:rFonts w:ascii="Arial" w:hAnsi="Arial" w:cs="Arial"/>
          <w:color w:val="000000"/>
          <w:sz w:val="24"/>
          <w:szCs w:val="24"/>
          <w:lang w:val="ro-RO"/>
        </w:rPr>
        <w:t xml:space="preserve"> creș</w:t>
      </w:r>
      <w:r w:rsidRPr="00AD4510">
        <w:rPr>
          <w:rFonts w:ascii="Arial" w:hAnsi="Arial" w:cs="Arial"/>
          <w:color w:val="000000"/>
          <w:sz w:val="24"/>
          <w:szCs w:val="24"/>
          <w:lang w:val="ro-RO"/>
        </w:rPr>
        <w:t xml:space="preserve">tere cu 12,5 miliarde lei </w:t>
      </w:r>
      <w:r w:rsidR="00F816CA" w:rsidRPr="00AD4510">
        <w:rPr>
          <w:rFonts w:ascii="Arial" w:hAnsi="Arial" w:cs="Arial"/>
          <w:color w:val="000000"/>
          <w:sz w:val="24"/>
          <w:szCs w:val="24"/>
          <w:lang w:val="ro-RO"/>
        </w:rPr>
        <w:t>față</w:t>
      </w:r>
      <w:r w:rsidRPr="00AD4510">
        <w:rPr>
          <w:rFonts w:ascii="Arial" w:hAnsi="Arial" w:cs="Arial"/>
          <w:color w:val="000000"/>
          <w:sz w:val="24"/>
          <w:szCs w:val="24"/>
          <w:lang w:val="ro-RO"/>
        </w:rPr>
        <w:t xml:space="preserve"> de 2018.</w:t>
      </w:r>
    </w:p>
    <w:p w:rsidR="002E0562" w:rsidRPr="00AD4510" w:rsidRDefault="00015F6D" w:rsidP="00E71094">
      <w:pPr>
        <w:pStyle w:val="ListParagraph"/>
        <w:widowControl w:val="0"/>
        <w:numPr>
          <w:ilvl w:val="0"/>
          <w:numId w:val="17"/>
        </w:numPr>
        <w:spacing w:before="40" w:after="100" w:line="269" w:lineRule="auto"/>
        <w:jc w:val="both"/>
        <w:rPr>
          <w:rFonts w:ascii="Arial" w:hAnsi="Arial" w:cs="Arial"/>
          <w:color w:val="000000"/>
          <w:sz w:val="24"/>
          <w:szCs w:val="24"/>
          <w:lang w:val="ro-RO"/>
        </w:rPr>
      </w:pPr>
      <w:r>
        <w:rPr>
          <w:rFonts w:ascii="Arial" w:hAnsi="Arial" w:cs="Arial"/>
          <w:color w:val="000000"/>
          <w:sz w:val="24"/>
          <w:szCs w:val="24"/>
          <w:lang w:val="ro-RO"/>
        </w:rPr>
        <w:t>Cheltuielile cu d</w:t>
      </w:r>
      <w:r w:rsidR="002E0562" w:rsidRPr="00AD4510">
        <w:rPr>
          <w:rFonts w:ascii="Arial" w:hAnsi="Arial" w:cs="Arial"/>
          <w:color w:val="000000"/>
          <w:sz w:val="24"/>
          <w:szCs w:val="24"/>
          <w:lang w:val="ro-RO"/>
        </w:rPr>
        <w:t xml:space="preserve">obânzile aferente datoriei publice </w:t>
      </w:r>
      <w:r>
        <w:rPr>
          <w:rFonts w:ascii="Arial" w:hAnsi="Arial" w:cs="Arial"/>
          <w:color w:val="000000"/>
          <w:sz w:val="24"/>
          <w:szCs w:val="24"/>
          <w:lang w:val="ro-RO"/>
        </w:rPr>
        <w:t xml:space="preserve">- </w:t>
      </w:r>
      <w:r w:rsidR="002E0562" w:rsidRPr="00AD4510">
        <w:rPr>
          <w:rFonts w:ascii="Arial" w:hAnsi="Arial" w:cs="Arial"/>
          <w:color w:val="000000"/>
          <w:sz w:val="24"/>
          <w:szCs w:val="24"/>
          <w:lang w:val="ro-RO"/>
        </w:rPr>
        <w:t>estimate la 13,5 miliar</w:t>
      </w:r>
      <w:r>
        <w:rPr>
          <w:rFonts w:ascii="Arial" w:hAnsi="Arial" w:cs="Arial"/>
          <w:color w:val="000000"/>
          <w:sz w:val="24"/>
          <w:szCs w:val="24"/>
          <w:lang w:val="ro-RO"/>
        </w:rPr>
        <w:t>de lei, au o pondere mai redusă în PIB de 1,3% în anul 2019 față de 1,4% în anul 2018.</w:t>
      </w:r>
    </w:p>
    <w:p w:rsidR="002E0562" w:rsidRPr="00AD4510" w:rsidRDefault="002E0562">
      <w:pPr>
        <w:rPr>
          <w:rFonts w:ascii="Arial" w:hAnsi="Arial" w:cs="Arial"/>
          <w:lang w:val="ro-RO"/>
        </w:rPr>
      </w:pPr>
    </w:p>
    <w:p w:rsidR="002E0562" w:rsidRPr="00AD4510" w:rsidRDefault="002E0562" w:rsidP="0067712F">
      <w:pPr>
        <w:spacing w:before="120" w:after="120" w:line="269" w:lineRule="auto"/>
        <w:ind w:left="426"/>
        <w:jc w:val="center"/>
        <w:rPr>
          <w:rFonts w:ascii="Arial" w:hAnsi="Arial" w:cs="Arial"/>
          <w:b/>
          <w:color w:val="000000"/>
          <w:sz w:val="24"/>
          <w:szCs w:val="24"/>
          <w:lang w:val="ro-RO"/>
        </w:rPr>
      </w:pPr>
      <w:r w:rsidRPr="00AD4510">
        <w:rPr>
          <w:rFonts w:ascii="Arial" w:hAnsi="Arial" w:cs="Arial"/>
          <w:b/>
          <w:color w:val="000000"/>
          <w:sz w:val="24"/>
          <w:szCs w:val="24"/>
          <w:lang w:val="ro-RO"/>
        </w:rPr>
        <w:t>Principalele obiective ale bugetului pe anul 2019 sunt:</w:t>
      </w:r>
    </w:p>
    <w:p w:rsidR="002E0562" w:rsidRPr="00AD4510" w:rsidRDefault="002E0562" w:rsidP="0067712F">
      <w:pPr>
        <w:spacing w:before="120" w:after="120" w:line="269" w:lineRule="auto"/>
        <w:ind w:left="426"/>
        <w:jc w:val="center"/>
        <w:rPr>
          <w:rFonts w:ascii="Arial" w:hAnsi="Arial" w:cs="Arial"/>
          <w:b/>
          <w:color w:val="000000"/>
          <w:sz w:val="24"/>
          <w:szCs w:val="24"/>
          <w:lang w:val="ro-RO"/>
        </w:rPr>
      </w:pPr>
    </w:p>
    <w:p w:rsidR="002E0562" w:rsidRDefault="002E0562" w:rsidP="003C1324">
      <w:pPr>
        <w:spacing w:before="120" w:after="120" w:line="269" w:lineRule="auto"/>
        <w:jc w:val="both"/>
        <w:rPr>
          <w:rFonts w:ascii="Arial" w:hAnsi="Arial" w:cs="Arial"/>
          <w:color w:val="000000"/>
          <w:sz w:val="24"/>
          <w:szCs w:val="24"/>
          <w:lang w:val="ro-RO"/>
        </w:rPr>
      </w:pPr>
      <w:r w:rsidRPr="00AD4510">
        <w:rPr>
          <w:rFonts w:ascii="Arial" w:hAnsi="Arial" w:cs="Arial"/>
          <w:b/>
          <w:color w:val="000000"/>
          <w:sz w:val="24"/>
          <w:szCs w:val="24"/>
          <w:lang w:val="ro-RO"/>
        </w:rPr>
        <w:t xml:space="preserve">Susținerea investițiilor publice </w:t>
      </w:r>
      <w:r w:rsidRPr="00AD4510">
        <w:rPr>
          <w:rFonts w:ascii="Arial" w:hAnsi="Arial" w:cs="Arial"/>
          <w:color w:val="000000"/>
          <w:sz w:val="24"/>
          <w:szCs w:val="24"/>
          <w:lang w:val="ro-RO"/>
        </w:rPr>
        <w:t xml:space="preserve">– prin alocarea a </w:t>
      </w:r>
      <w:r w:rsidRPr="00AD4510">
        <w:rPr>
          <w:rFonts w:ascii="Arial" w:hAnsi="Arial" w:cs="Arial"/>
          <w:sz w:val="24"/>
          <w:szCs w:val="24"/>
          <w:lang w:val="ro-RO"/>
        </w:rPr>
        <w:t>46,8</w:t>
      </w:r>
      <w:r w:rsidRPr="00AD4510">
        <w:rPr>
          <w:rFonts w:ascii="Arial" w:hAnsi="Arial" w:cs="Arial"/>
          <w:color w:val="000000"/>
          <w:sz w:val="24"/>
          <w:szCs w:val="24"/>
          <w:lang w:val="ro-RO"/>
        </w:rPr>
        <w:t xml:space="preserve"> miliarde lei, reprezentând aproximativ  4,57% din PIB.</w:t>
      </w:r>
    </w:p>
    <w:p w:rsidR="002E0562" w:rsidRDefault="00656592" w:rsidP="003C1324">
      <w:pPr>
        <w:spacing w:before="120" w:after="120" w:line="269" w:lineRule="auto"/>
        <w:jc w:val="both"/>
        <w:rPr>
          <w:rFonts w:ascii="Arial" w:hAnsi="Arial" w:cs="Arial"/>
          <w:color w:val="000000"/>
          <w:sz w:val="24"/>
          <w:szCs w:val="24"/>
          <w:lang w:val="ro-RO"/>
        </w:rPr>
      </w:pPr>
      <w:r>
        <w:rPr>
          <w:rFonts w:ascii="Arial" w:hAnsi="Arial" w:cs="Arial"/>
          <w:color w:val="000000"/>
          <w:sz w:val="24"/>
          <w:szCs w:val="24"/>
          <w:lang w:val="ro-RO"/>
        </w:rPr>
        <w:t xml:space="preserve">Principalele cheltuieli asigurate de </w:t>
      </w:r>
      <w:r w:rsidR="002E0562">
        <w:rPr>
          <w:rFonts w:ascii="Arial" w:hAnsi="Arial" w:cs="Arial"/>
          <w:color w:val="000000"/>
          <w:sz w:val="24"/>
          <w:szCs w:val="24"/>
          <w:lang w:val="ro-RO"/>
        </w:rPr>
        <w:t xml:space="preserve">la bugetul de stat </w:t>
      </w:r>
      <w:r>
        <w:rPr>
          <w:rFonts w:ascii="Arial" w:hAnsi="Arial" w:cs="Arial"/>
          <w:color w:val="000000"/>
          <w:sz w:val="24"/>
          <w:szCs w:val="24"/>
          <w:lang w:val="ro-RO"/>
        </w:rPr>
        <w:t>pe anul 2019 vizează:</w:t>
      </w:r>
    </w:p>
    <w:p w:rsidR="002E0562" w:rsidRDefault="002E0562" w:rsidP="00FF3E86">
      <w:pPr>
        <w:pStyle w:val="ListParagraph"/>
        <w:numPr>
          <w:ilvl w:val="0"/>
          <w:numId w:val="32"/>
        </w:numPr>
        <w:spacing w:before="120" w:after="120" w:line="269" w:lineRule="auto"/>
        <w:jc w:val="both"/>
        <w:rPr>
          <w:rFonts w:ascii="Arial" w:hAnsi="Arial" w:cs="Arial"/>
          <w:color w:val="000000"/>
          <w:sz w:val="24"/>
          <w:szCs w:val="24"/>
          <w:lang w:val="ro-RO"/>
        </w:rPr>
      </w:pPr>
      <w:r w:rsidRPr="00FF3E86">
        <w:rPr>
          <w:rFonts w:ascii="Arial" w:hAnsi="Arial" w:cs="Arial"/>
          <w:color w:val="000000"/>
          <w:sz w:val="24"/>
          <w:szCs w:val="24"/>
          <w:lang w:val="ro-RO"/>
        </w:rPr>
        <w:t>Programul Na</w:t>
      </w:r>
      <w:r w:rsidRPr="00205B5C">
        <w:rPr>
          <w:rFonts w:ascii="Arial" w:hAnsi="Arial" w:cs="Arial"/>
          <w:color w:val="000000"/>
          <w:sz w:val="24"/>
          <w:szCs w:val="24"/>
          <w:lang w:val="ro-RO"/>
        </w:rPr>
        <w:t>ț</w:t>
      </w:r>
      <w:r w:rsidRPr="00FF3E86">
        <w:rPr>
          <w:rFonts w:ascii="Arial" w:hAnsi="Arial" w:cs="Arial"/>
          <w:color w:val="000000"/>
          <w:sz w:val="24"/>
          <w:szCs w:val="24"/>
          <w:lang w:val="ro-RO"/>
        </w:rPr>
        <w:t xml:space="preserve">ional de Dezvoltare Locală </w:t>
      </w:r>
      <w:r>
        <w:rPr>
          <w:rFonts w:ascii="Arial" w:hAnsi="Arial" w:cs="Arial"/>
          <w:color w:val="000000"/>
          <w:sz w:val="24"/>
          <w:szCs w:val="24"/>
          <w:lang w:val="ro-RO"/>
        </w:rPr>
        <w:t xml:space="preserve">: </w:t>
      </w:r>
      <w:r w:rsidRPr="00FF3E86">
        <w:rPr>
          <w:rFonts w:ascii="Arial" w:hAnsi="Arial" w:cs="Arial"/>
          <w:color w:val="000000"/>
          <w:sz w:val="24"/>
          <w:szCs w:val="24"/>
          <w:lang w:val="ro-RO"/>
        </w:rPr>
        <w:t>2,5 miliarde lei</w:t>
      </w:r>
      <w:r>
        <w:rPr>
          <w:rFonts w:ascii="Arial" w:hAnsi="Arial" w:cs="Arial"/>
          <w:color w:val="000000"/>
          <w:sz w:val="24"/>
          <w:szCs w:val="24"/>
          <w:lang w:val="ro-RO"/>
        </w:rPr>
        <w:t>;</w:t>
      </w:r>
    </w:p>
    <w:p w:rsidR="002E0562" w:rsidRDefault="002E0562" w:rsidP="00FF3E86">
      <w:pPr>
        <w:pStyle w:val="ListParagraph"/>
        <w:numPr>
          <w:ilvl w:val="0"/>
          <w:numId w:val="32"/>
        </w:numPr>
        <w:spacing w:before="120" w:after="120" w:line="269" w:lineRule="auto"/>
        <w:jc w:val="both"/>
        <w:rPr>
          <w:rFonts w:ascii="Arial" w:hAnsi="Arial" w:cs="Arial"/>
          <w:color w:val="000000"/>
          <w:sz w:val="24"/>
          <w:szCs w:val="24"/>
          <w:lang w:val="ro-RO"/>
        </w:rPr>
      </w:pPr>
      <w:r w:rsidRPr="00FF3E86">
        <w:rPr>
          <w:rFonts w:ascii="Arial" w:hAnsi="Arial" w:cs="Arial"/>
          <w:color w:val="000000"/>
          <w:sz w:val="24"/>
          <w:szCs w:val="24"/>
          <w:lang w:val="ro-RO"/>
        </w:rPr>
        <w:t xml:space="preserve">Programul de interes public </w:t>
      </w:r>
      <w:r w:rsidRPr="00205B5C">
        <w:rPr>
          <w:rFonts w:ascii="Arial" w:hAnsi="Arial" w:cs="Arial"/>
          <w:color w:val="000000"/>
          <w:sz w:val="24"/>
          <w:szCs w:val="24"/>
          <w:lang w:val="ro-RO"/>
        </w:rPr>
        <w:t>ș</w:t>
      </w:r>
      <w:r w:rsidRPr="00FF3E86">
        <w:rPr>
          <w:rFonts w:ascii="Arial" w:hAnsi="Arial" w:cs="Arial"/>
          <w:color w:val="000000"/>
          <w:sz w:val="24"/>
          <w:szCs w:val="24"/>
          <w:lang w:val="ro-RO"/>
        </w:rPr>
        <w:t>i social derulat de Compania Na</w:t>
      </w:r>
      <w:r w:rsidRPr="00205B5C">
        <w:rPr>
          <w:rFonts w:ascii="Arial" w:hAnsi="Arial" w:cs="Arial"/>
          <w:color w:val="000000"/>
          <w:sz w:val="24"/>
          <w:szCs w:val="24"/>
          <w:lang w:val="ro-RO"/>
        </w:rPr>
        <w:t>ț</w:t>
      </w:r>
      <w:r w:rsidRPr="00FF3E86">
        <w:rPr>
          <w:rFonts w:ascii="Arial" w:hAnsi="Arial" w:cs="Arial"/>
          <w:color w:val="000000"/>
          <w:sz w:val="24"/>
          <w:szCs w:val="24"/>
          <w:lang w:val="ro-RO"/>
        </w:rPr>
        <w:t>ională de Investitii</w:t>
      </w:r>
      <w:r>
        <w:rPr>
          <w:rFonts w:ascii="Arial" w:hAnsi="Arial" w:cs="Arial"/>
          <w:color w:val="000000"/>
          <w:sz w:val="24"/>
          <w:szCs w:val="24"/>
          <w:lang w:val="ro-RO"/>
        </w:rPr>
        <w:t xml:space="preserve"> : 1,1 miliarde lei</w:t>
      </w:r>
    </w:p>
    <w:p w:rsidR="002E0562" w:rsidRDefault="002E0562" w:rsidP="00FF3E86">
      <w:pPr>
        <w:pStyle w:val="ListParagraph"/>
        <w:numPr>
          <w:ilvl w:val="0"/>
          <w:numId w:val="32"/>
        </w:numPr>
        <w:spacing w:before="120" w:after="120" w:line="269" w:lineRule="auto"/>
        <w:jc w:val="both"/>
        <w:rPr>
          <w:rFonts w:ascii="Arial" w:hAnsi="Arial" w:cs="Arial"/>
          <w:color w:val="000000"/>
          <w:sz w:val="24"/>
          <w:szCs w:val="24"/>
          <w:lang w:val="ro-RO"/>
        </w:rPr>
      </w:pPr>
      <w:r w:rsidRPr="00FF3E86">
        <w:rPr>
          <w:rFonts w:ascii="Arial" w:hAnsi="Arial" w:cs="Arial"/>
          <w:color w:val="000000"/>
          <w:sz w:val="24"/>
          <w:szCs w:val="24"/>
          <w:lang w:val="ro-RO"/>
        </w:rPr>
        <w:t>investi</w:t>
      </w:r>
      <w:r w:rsidRPr="00205B5C">
        <w:rPr>
          <w:rFonts w:ascii="Arial" w:hAnsi="Arial" w:cs="Arial"/>
          <w:color w:val="000000"/>
          <w:sz w:val="24"/>
          <w:szCs w:val="24"/>
          <w:lang w:val="ro-RO"/>
        </w:rPr>
        <w:t>ț</w:t>
      </w:r>
      <w:r w:rsidRPr="00FF3E86">
        <w:rPr>
          <w:rFonts w:ascii="Arial" w:hAnsi="Arial" w:cs="Arial"/>
          <w:color w:val="000000"/>
          <w:sz w:val="24"/>
          <w:szCs w:val="24"/>
          <w:lang w:val="ro-RO"/>
        </w:rPr>
        <w:t>ii ale operatorilor din industr</w:t>
      </w:r>
      <w:r w:rsidRPr="00480528">
        <w:rPr>
          <w:rFonts w:ascii="Arial" w:hAnsi="Arial" w:cs="Arial"/>
          <w:color w:val="000000"/>
          <w:sz w:val="24"/>
          <w:szCs w:val="24"/>
          <w:lang w:val="ro-RO"/>
        </w:rPr>
        <w:t>ia de apărare 0,2 miliarde lei;</w:t>
      </w:r>
    </w:p>
    <w:p w:rsidR="002E0562" w:rsidRDefault="002E0562" w:rsidP="00FF3E86">
      <w:pPr>
        <w:pStyle w:val="ListParagraph"/>
        <w:numPr>
          <w:ilvl w:val="0"/>
          <w:numId w:val="32"/>
        </w:numPr>
        <w:spacing w:before="120" w:after="120" w:line="269" w:lineRule="auto"/>
        <w:jc w:val="both"/>
        <w:rPr>
          <w:rFonts w:ascii="Arial" w:hAnsi="Arial" w:cs="Arial"/>
          <w:color w:val="000000"/>
          <w:sz w:val="24"/>
          <w:szCs w:val="24"/>
          <w:lang w:val="ro-RO"/>
        </w:rPr>
      </w:pPr>
      <w:r>
        <w:rPr>
          <w:rFonts w:ascii="Arial" w:hAnsi="Arial" w:cs="Arial"/>
          <w:color w:val="000000"/>
          <w:sz w:val="24"/>
          <w:szCs w:val="24"/>
          <w:lang w:val="ro-RO"/>
        </w:rPr>
        <w:t xml:space="preserve">investiții în infrastructura de transport : 5,6 miliarde lei, din care 4,1 miliarde </w:t>
      </w:r>
      <w:r w:rsidR="00F816CA">
        <w:rPr>
          <w:rFonts w:ascii="Arial" w:hAnsi="Arial" w:cs="Arial"/>
          <w:color w:val="000000"/>
          <w:sz w:val="24"/>
          <w:szCs w:val="24"/>
          <w:lang w:val="ro-RO"/>
        </w:rPr>
        <w:t xml:space="preserve">de lei </w:t>
      </w:r>
      <w:r>
        <w:rPr>
          <w:rFonts w:ascii="Arial" w:hAnsi="Arial" w:cs="Arial"/>
          <w:color w:val="000000"/>
          <w:sz w:val="24"/>
          <w:szCs w:val="24"/>
          <w:lang w:val="ro-RO"/>
        </w:rPr>
        <w:t>aferente proiectelor finanțate din fonduri europene</w:t>
      </w:r>
    </w:p>
    <w:p w:rsidR="002E0562" w:rsidRPr="00FF3E86" w:rsidRDefault="002E0562" w:rsidP="00FF3E86">
      <w:pPr>
        <w:pStyle w:val="ListParagraph"/>
        <w:numPr>
          <w:ilvl w:val="0"/>
          <w:numId w:val="32"/>
        </w:numPr>
        <w:spacing w:before="120" w:after="120" w:line="269" w:lineRule="auto"/>
        <w:jc w:val="both"/>
        <w:rPr>
          <w:rFonts w:ascii="Arial" w:hAnsi="Arial" w:cs="Arial"/>
          <w:color w:val="000000"/>
          <w:sz w:val="24"/>
          <w:szCs w:val="24"/>
          <w:lang w:val="ro-RO"/>
        </w:rPr>
      </w:pPr>
      <w:r>
        <w:rPr>
          <w:rFonts w:ascii="Arial" w:hAnsi="Arial" w:cs="Arial"/>
          <w:color w:val="000000"/>
          <w:sz w:val="24"/>
          <w:szCs w:val="24"/>
          <w:lang w:val="ro-RO"/>
        </w:rPr>
        <w:t>investiții în domeniul apelor : 0,4 milioane lei.</w:t>
      </w:r>
    </w:p>
    <w:p w:rsidR="002E0562" w:rsidRPr="00AD4510" w:rsidRDefault="002E0562" w:rsidP="003C1324">
      <w:pPr>
        <w:spacing w:before="120" w:after="120" w:line="269" w:lineRule="auto"/>
        <w:jc w:val="both"/>
        <w:rPr>
          <w:rFonts w:ascii="Arial" w:hAnsi="Arial" w:cs="Arial"/>
          <w:color w:val="000000"/>
          <w:sz w:val="24"/>
          <w:szCs w:val="24"/>
          <w:u w:val="single"/>
          <w:lang w:val="ro-RO"/>
        </w:rPr>
      </w:pPr>
      <w:r w:rsidRPr="00AD4510">
        <w:rPr>
          <w:rFonts w:ascii="Arial" w:hAnsi="Arial" w:cs="Arial"/>
          <w:color w:val="000000"/>
          <w:sz w:val="24"/>
          <w:szCs w:val="24"/>
          <w:lang w:val="ro-RO"/>
        </w:rPr>
        <w:t xml:space="preserve"> </w:t>
      </w:r>
    </w:p>
    <w:p w:rsidR="002E0562" w:rsidRPr="00AD4510" w:rsidRDefault="00BC47C7" w:rsidP="00B4013E">
      <w:pPr>
        <w:jc w:val="both"/>
        <w:rPr>
          <w:rFonts w:ascii="Arial" w:hAnsi="Arial" w:cs="Arial"/>
          <w:sz w:val="24"/>
          <w:szCs w:val="24"/>
          <w:lang w:val="ro-RO"/>
        </w:rPr>
      </w:pPr>
      <w:r>
        <w:rPr>
          <w:rFonts w:ascii="Arial" w:hAnsi="Arial" w:cs="Arial"/>
          <w:b/>
          <w:color w:val="000000"/>
          <w:sz w:val="24"/>
          <w:szCs w:val="24"/>
          <w:lang w:val="ro-RO"/>
        </w:rPr>
        <w:t xml:space="preserve">Sanătatea </w:t>
      </w:r>
      <w:r w:rsidR="002E0562" w:rsidRPr="00AD4510">
        <w:rPr>
          <w:rFonts w:ascii="Arial" w:hAnsi="Arial" w:cs="Arial"/>
          <w:color w:val="000000"/>
          <w:sz w:val="24"/>
          <w:szCs w:val="24"/>
          <w:lang w:val="ro-RO"/>
        </w:rPr>
        <w:t>- suma alocată acestui do</w:t>
      </w:r>
      <w:r w:rsidR="00470D8C">
        <w:rPr>
          <w:rFonts w:ascii="Arial" w:hAnsi="Arial" w:cs="Arial"/>
          <w:color w:val="000000"/>
          <w:sz w:val="24"/>
          <w:szCs w:val="24"/>
          <w:lang w:val="ro-RO"/>
        </w:rPr>
        <w:t xml:space="preserve">meniu, a fost majorată cu cca. </w:t>
      </w:r>
      <w:r>
        <w:rPr>
          <w:rFonts w:ascii="Arial" w:hAnsi="Arial" w:cs="Arial"/>
          <w:color w:val="000000"/>
          <w:sz w:val="24"/>
          <w:szCs w:val="24"/>
          <w:lang w:val="ro-RO"/>
        </w:rPr>
        <w:t xml:space="preserve">5 miliarde </w:t>
      </w:r>
      <w:r w:rsidR="002B2275">
        <w:rPr>
          <w:rFonts w:ascii="Arial" w:hAnsi="Arial" w:cs="Arial"/>
          <w:color w:val="000000"/>
          <w:sz w:val="24"/>
          <w:szCs w:val="24"/>
          <w:lang w:val="ro-RO"/>
        </w:rPr>
        <w:t>faţă de 2018</w:t>
      </w:r>
      <w:r w:rsidR="00470D8C">
        <w:rPr>
          <w:rFonts w:ascii="Arial" w:hAnsi="Arial" w:cs="Arial"/>
          <w:color w:val="000000"/>
          <w:sz w:val="24"/>
          <w:szCs w:val="24"/>
          <w:lang w:val="ro-RO"/>
        </w:rPr>
        <w:t xml:space="preserve">, ceea ce înseamnă o creștere de </w:t>
      </w:r>
      <w:r>
        <w:rPr>
          <w:rFonts w:ascii="Arial" w:hAnsi="Arial" w:cs="Arial"/>
          <w:color w:val="000000"/>
          <w:sz w:val="24"/>
          <w:szCs w:val="24"/>
          <w:lang w:val="ro-RO"/>
        </w:rPr>
        <w:t>12</w:t>
      </w:r>
      <w:r w:rsidR="00470D8C">
        <w:rPr>
          <w:rFonts w:ascii="Arial" w:hAnsi="Arial" w:cs="Arial"/>
          <w:color w:val="000000"/>
          <w:sz w:val="24"/>
          <w:szCs w:val="24"/>
          <w:lang w:val="ro-RO"/>
        </w:rPr>
        <w:t>%</w:t>
      </w:r>
      <w:r w:rsidR="002B2275">
        <w:rPr>
          <w:rFonts w:ascii="Arial" w:hAnsi="Arial" w:cs="Arial"/>
          <w:color w:val="000000"/>
          <w:sz w:val="24"/>
          <w:szCs w:val="24"/>
          <w:lang w:val="ro-RO"/>
        </w:rPr>
        <w:t xml:space="preserve"> (exclusiv subvenț</w:t>
      </w:r>
      <w:r w:rsidR="002E0562" w:rsidRPr="00AD4510">
        <w:rPr>
          <w:rFonts w:ascii="Arial" w:hAnsi="Arial" w:cs="Arial"/>
          <w:color w:val="000000"/>
          <w:sz w:val="24"/>
          <w:szCs w:val="24"/>
          <w:lang w:val="ro-RO"/>
        </w:rPr>
        <w:t>ia de echilibrare), atât în bugetul Ministerului Sănătăţii cât şi cel al Casei Naţionale de Asigurări  de Sănătate. S-</w:t>
      </w:r>
      <w:r w:rsidR="002E0562" w:rsidRPr="00AD4510">
        <w:rPr>
          <w:rFonts w:ascii="Arial" w:hAnsi="Arial" w:cs="Arial"/>
          <w:color w:val="000000"/>
          <w:sz w:val="24"/>
          <w:szCs w:val="24"/>
          <w:lang w:val="ro-RO"/>
        </w:rPr>
        <w:lastRenderedPageBreak/>
        <w:t xml:space="preserve">au alocat </w:t>
      </w:r>
      <w:r w:rsidR="002E0562" w:rsidRPr="00AD4510">
        <w:rPr>
          <w:rFonts w:ascii="Arial" w:hAnsi="Arial" w:cs="Arial"/>
          <w:sz w:val="24"/>
          <w:szCs w:val="24"/>
          <w:lang w:val="ro-RO"/>
        </w:rPr>
        <w:t>1,1</w:t>
      </w:r>
      <w:r w:rsidR="00F816CA">
        <w:rPr>
          <w:rFonts w:ascii="Arial" w:hAnsi="Arial" w:cs="Arial"/>
          <w:sz w:val="24"/>
          <w:szCs w:val="24"/>
          <w:lang w:val="ro-RO"/>
        </w:rPr>
        <w:t>8</w:t>
      </w:r>
      <w:r w:rsidR="002E0562" w:rsidRPr="00AD4510">
        <w:rPr>
          <w:rFonts w:ascii="Arial" w:hAnsi="Arial" w:cs="Arial"/>
          <w:sz w:val="24"/>
          <w:szCs w:val="24"/>
          <w:lang w:val="ro-RO"/>
        </w:rPr>
        <w:t xml:space="preserve"> miliarde lei pentru aparatură, investiții și echipamente în spitale, în special pentru achițizia de incubatoare și ecografe și 305,3 milioane lei din</w:t>
      </w:r>
      <w:r w:rsidR="002E0562" w:rsidRPr="00AD4510">
        <w:rPr>
          <w:rFonts w:ascii="Arial" w:hAnsi="Arial" w:cs="Arial"/>
          <w:b/>
          <w:sz w:val="24"/>
          <w:szCs w:val="24"/>
          <w:lang w:val="ro-RO"/>
        </w:rPr>
        <w:t xml:space="preserve"> </w:t>
      </w:r>
      <w:r w:rsidR="002E0562" w:rsidRPr="00AD4510">
        <w:rPr>
          <w:rFonts w:ascii="Arial" w:hAnsi="Arial" w:cs="Arial"/>
          <w:sz w:val="24"/>
          <w:szCs w:val="24"/>
          <w:lang w:val="ro-RO"/>
        </w:rPr>
        <w:t xml:space="preserve">împrumutul acordat de BIRD achiziției de echipamente de screening, RMN, pentru radioterapie. </w:t>
      </w:r>
    </w:p>
    <w:p w:rsidR="002E0562" w:rsidRPr="00AD4510" w:rsidRDefault="002E0562" w:rsidP="00B4013E">
      <w:pPr>
        <w:spacing w:before="120" w:after="120" w:line="269" w:lineRule="auto"/>
        <w:jc w:val="both"/>
        <w:rPr>
          <w:rFonts w:ascii="Arial" w:hAnsi="Arial" w:cs="Arial"/>
          <w:sz w:val="24"/>
          <w:szCs w:val="24"/>
          <w:lang w:val="ro-RO"/>
        </w:rPr>
      </w:pPr>
      <w:r w:rsidRPr="00AD4510">
        <w:rPr>
          <w:rFonts w:ascii="Arial" w:hAnsi="Arial" w:cs="Arial"/>
          <w:b/>
          <w:bCs/>
          <w:color w:val="000000"/>
          <w:sz w:val="24"/>
          <w:szCs w:val="24"/>
          <w:lang w:val="ro-RO"/>
        </w:rPr>
        <w:t xml:space="preserve">Educație – </w:t>
      </w:r>
      <w:r w:rsidRPr="00AD4510">
        <w:rPr>
          <w:rFonts w:ascii="Arial" w:hAnsi="Arial" w:cs="Arial"/>
          <w:bCs/>
          <w:color w:val="000000"/>
          <w:sz w:val="24"/>
          <w:szCs w:val="24"/>
          <w:lang w:val="ro-RO"/>
        </w:rPr>
        <w:t>s-au alocat suplimentar de la bugetul de stat, comparativ cu anul 2018, cca. 9,8 miliarde lei, r</w:t>
      </w:r>
      <w:r w:rsidR="00656592">
        <w:rPr>
          <w:rFonts w:ascii="Arial" w:hAnsi="Arial" w:cs="Arial"/>
          <w:bCs/>
          <w:color w:val="000000"/>
          <w:sz w:val="24"/>
          <w:szCs w:val="24"/>
          <w:lang w:val="ro-RO"/>
        </w:rPr>
        <w:t xml:space="preserve">eprezentând o majorare de 47%, </w:t>
      </w:r>
      <w:r w:rsidRPr="00AD4510">
        <w:rPr>
          <w:rFonts w:ascii="Arial" w:hAnsi="Arial" w:cs="Arial"/>
          <w:bCs/>
          <w:color w:val="000000"/>
          <w:sz w:val="24"/>
          <w:szCs w:val="24"/>
          <w:lang w:val="ro-RO"/>
        </w:rPr>
        <w:t xml:space="preserve">pentru acoperirea </w:t>
      </w:r>
      <w:r w:rsidR="00015F6D" w:rsidRPr="00AD4510">
        <w:rPr>
          <w:rFonts w:ascii="Arial" w:hAnsi="Arial" w:cs="Arial"/>
          <w:bCs/>
          <w:color w:val="000000"/>
          <w:sz w:val="24"/>
          <w:szCs w:val="24"/>
          <w:lang w:val="ro-RO"/>
        </w:rPr>
        <w:t>creșterilor</w:t>
      </w:r>
      <w:r w:rsidRPr="00AD4510">
        <w:rPr>
          <w:rFonts w:ascii="Arial" w:hAnsi="Arial" w:cs="Arial"/>
          <w:bCs/>
          <w:color w:val="000000"/>
          <w:sz w:val="24"/>
          <w:szCs w:val="24"/>
          <w:lang w:val="ro-RO"/>
        </w:rPr>
        <w:t xml:space="preserve"> salariale, pentru investiţii (2 miliarde lei) – </w:t>
      </w:r>
      <w:r w:rsidRPr="00AD4510">
        <w:rPr>
          <w:rFonts w:ascii="Arial" w:hAnsi="Arial" w:cs="Arial"/>
          <w:sz w:val="24"/>
          <w:szCs w:val="24"/>
          <w:lang w:val="ro-RO"/>
        </w:rPr>
        <w:t>pentru implementarea unor proiecte finanțate din fonduri europene în vederea modernizării procesului de predare-învăţare cu ajutorul tehnologiilor informaţiilor şi comunicării, prin dotarea şcolilor cu table interactive.</w:t>
      </w:r>
    </w:p>
    <w:p w:rsidR="002E0562" w:rsidRPr="00AD4510" w:rsidRDefault="002E0562" w:rsidP="00551E7D">
      <w:pPr>
        <w:jc w:val="both"/>
        <w:rPr>
          <w:rFonts w:ascii="Arial" w:hAnsi="Arial" w:cs="Arial"/>
          <w:sz w:val="24"/>
          <w:szCs w:val="24"/>
          <w:lang w:val="ro-RO"/>
        </w:rPr>
      </w:pPr>
      <w:r w:rsidRPr="00AD4510">
        <w:rPr>
          <w:rFonts w:ascii="Arial" w:hAnsi="Arial" w:cs="Arial"/>
          <w:sz w:val="24"/>
          <w:szCs w:val="24"/>
          <w:lang w:val="ro-RO"/>
        </w:rPr>
        <w:t>De asemenea, sunt alocate 1,1 miliarde lei pentru implementarea unui nou program prin care sunt asigurate de rechizite pentru copii din învătâmăntul preuniversitar.</w:t>
      </w:r>
    </w:p>
    <w:p w:rsidR="002E0562" w:rsidRPr="00AD4510" w:rsidRDefault="002E0562" w:rsidP="003C1324">
      <w:pPr>
        <w:tabs>
          <w:tab w:val="left" w:pos="810"/>
        </w:tabs>
        <w:suppressAutoHyphens/>
        <w:spacing w:after="0" w:line="240" w:lineRule="auto"/>
        <w:contextualSpacing/>
        <w:jc w:val="both"/>
        <w:rPr>
          <w:rFonts w:ascii="Arial" w:hAnsi="Arial" w:cs="Arial"/>
          <w:b/>
          <w:bCs/>
          <w:color w:val="000000"/>
          <w:sz w:val="24"/>
          <w:szCs w:val="24"/>
          <w:lang w:val="ro-RO"/>
        </w:rPr>
      </w:pPr>
    </w:p>
    <w:p w:rsidR="005C2227" w:rsidRPr="00AD4510" w:rsidRDefault="002E0562" w:rsidP="003C1324">
      <w:pPr>
        <w:tabs>
          <w:tab w:val="left" w:pos="810"/>
        </w:tabs>
        <w:suppressAutoHyphens/>
        <w:spacing w:after="0" w:line="240" w:lineRule="auto"/>
        <w:contextualSpacing/>
        <w:jc w:val="both"/>
        <w:rPr>
          <w:rFonts w:ascii="Arial" w:hAnsi="Arial" w:cs="Arial"/>
          <w:b/>
          <w:bCs/>
          <w:color w:val="000000"/>
          <w:sz w:val="24"/>
          <w:szCs w:val="24"/>
          <w:lang w:val="ro-RO"/>
        </w:rPr>
      </w:pPr>
      <w:r w:rsidRPr="00AD4510">
        <w:rPr>
          <w:rFonts w:ascii="Arial" w:hAnsi="Arial" w:cs="Arial"/>
          <w:b/>
          <w:bCs/>
          <w:color w:val="000000"/>
          <w:sz w:val="24"/>
          <w:szCs w:val="24"/>
          <w:lang w:val="ro-RO"/>
        </w:rPr>
        <w:t xml:space="preserve">În bugetul pentru anul 2019 a fost prevăzută alocarea de 2% din PIB pentru aparare, conform angajamentelor asumate față de partenerii din NATO. </w:t>
      </w:r>
    </w:p>
    <w:p w:rsidR="002E0562" w:rsidRPr="00AD4510" w:rsidRDefault="002E0562" w:rsidP="003C1324">
      <w:pPr>
        <w:tabs>
          <w:tab w:val="left" w:pos="810"/>
        </w:tabs>
        <w:suppressAutoHyphens/>
        <w:spacing w:after="0" w:line="240" w:lineRule="auto"/>
        <w:contextualSpacing/>
        <w:jc w:val="both"/>
        <w:rPr>
          <w:rFonts w:ascii="Arial" w:hAnsi="Arial" w:cs="Arial"/>
          <w:b/>
          <w:bCs/>
          <w:color w:val="000000"/>
          <w:sz w:val="24"/>
          <w:szCs w:val="24"/>
          <w:lang w:val="ro-RO"/>
        </w:rPr>
      </w:pPr>
    </w:p>
    <w:p w:rsidR="002E0562" w:rsidRDefault="002E0562" w:rsidP="003C1324">
      <w:pPr>
        <w:tabs>
          <w:tab w:val="left" w:pos="810"/>
        </w:tabs>
        <w:suppressAutoHyphens/>
        <w:spacing w:after="0" w:line="240" w:lineRule="auto"/>
        <w:contextualSpacing/>
        <w:jc w:val="both"/>
        <w:rPr>
          <w:rFonts w:ascii="Arial" w:hAnsi="Arial" w:cs="Arial"/>
          <w:b/>
          <w:bCs/>
          <w:color w:val="000000"/>
          <w:sz w:val="24"/>
          <w:szCs w:val="24"/>
          <w:lang w:val="ro-RO"/>
        </w:rPr>
      </w:pPr>
      <w:r w:rsidRPr="00AD4510">
        <w:rPr>
          <w:rFonts w:ascii="Arial" w:hAnsi="Arial" w:cs="Arial"/>
          <w:b/>
          <w:bCs/>
          <w:color w:val="000000"/>
          <w:sz w:val="24"/>
          <w:szCs w:val="24"/>
          <w:lang w:val="ro-RO"/>
        </w:rPr>
        <w:t>Au fost asigurate sumele necesare pentru majorarea cu 15% a pensiilor începând cu luna septembrie 2019</w:t>
      </w:r>
      <w:r>
        <w:rPr>
          <w:rFonts w:ascii="Arial" w:hAnsi="Arial" w:cs="Arial"/>
          <w:b/>
          <w:bCs/>
          <w:color w:val="000000"/>
          <w:sz w:val="24"/>
          <w:szCs w:val="24"/>
          <w:lang w:val="ro-RO"/>
        </w:rPr>
        <w:t xml:space="preserve"> </w:t>
      </w:r>
      <w:r w:rsidRPr="00AD4510">
        <w:rPr>
          <w:rFonts w:ascii="Arial" w:hAnsi="Arial" w:cs="Arial"/>
          <w:b/>
          <w:bCs/>
          <w:color w:val="000000"/>
          <w:sz w:val="24"/>
          <w:szCs w:val="24"/>
          <w:lang w:val="ro-RO"/>
        </w:rPr>
        <w:t xml:space="preserve">- </w:t>
      </w:r>
      <w:r w:rsidRPr="00AD4510">
        <w:rPr>
          <w:rFonts w:ascii="Arial" w:hAnsi="Arial" w:cs="Arial"/>
          <w:bCs/>
          <w:color w:val="000000"/>
          <w:sz w:val="24"/>
          <w:szCs w:val="24"/>
          <w:lang w:val="ro-RO"/>
        </w:rPr>
        <w:t xml:space="preserve"> ceea ce reprezintă o suplimentare cu 6,5 miliarde lei a Bugetului asigurărilor sociale de stat</w:t>
      </w:r>
      <w:r w:rsidRPr="00AD4510">
        <w:rPr>
          <w:rFonts w:ascii="Arial" w:hAnsi="Arial" w:cs="Arial"/>
          <w:b/>
          <w:bCs/>
          <w:color w:val="000000"/>
          <w:sz w:val="24"/>
          <w:szCs w:val="24"/>
          <w:lang w:val="ro-RO"/>
        </w:rPr>
        <w:t>.</w:t>
      </w:r>
    </w:p>
    <w:p w:rsidR="005C2227" w:rsidRDefault="005C2227" w:rsidP="003C1324">
      <w:pPr>
        <w:tabs>
          <w:tab w:val="left" w:pos="810"/>
        </w:tabs>
        <w:suppressAutoHyphens/>
        <w:spacing w:after="0" w:line="240" w:lineRule="auto"/>
        <w:contextualSpacing/>
        <w:jc w:val="both"/>
        <w:rPr>
          <w:rFonts w:ascii="Arial" w:hAnsi="Arial" w:cs="Arial"/>
          <w:b/>
          <w:bCs/>
          <w:color w:val="000000"/>
          <w:sz w:val="24"/>
          <w:szCs w:val="24"/>
          <w:lang w:val="ro-RO"/>
        </w:rPr>
      </w:pPr>
    </w:p>
    <w:p w:rsidR="005C2227" w:rsidRPr="00AD4510" w:rsidRDefault="005C2227" w:rsidP="003C1324">
      <w:pPr>
        <w:tabs>
          <w:tab w:val="left" w:pos="810"/>
        </w:tabs>
        <w:suppressAutoHyphens/>
        <w:spacing w:after="0" w:line="240" w:lineRule="auto"/>
        <w:contextualSpacing/>
        <w:jc w:val="both"/>
        <w:rPr>
          <w:rFonts w:ascii="Arial" w:hAnsi="Arial" w:cs="Arial"/>
          <w:b/>
          <w:bCs/>
          <w:color w:val="000000"/>
          <w:sz w:val="24"/>
          <w:szCs w:val="24"/>
          <w:lang w:val="ro-RO"/>
        </w:rPr>
      </w:pPr>
      <w:r>
        <w:rPr>
          <w:rFonts w:ascii="Arial" w:hAnsi="Arial" w:cs="Arial"/>
          <w:b/>
          <w:bCs/>
          <w:color w:val="000000"/>
          <w:sz w:val="24"/>
          <w:szCs w:val="24"/>
          <w:lang w:val="ro-RO"/>
        </w:rPr>
        <w:t>În bugetul asigurărilor sociale de stat viramentele către sistemul de pensii administrate privat (Pilonul II) sunt de 8,6 miliarde de lei.</w:t>
      </w:r>
    </w:p>
    <w:p w:rsidR="002E0562" w:rsidRPr="00AD4510" w:rsidRDefault="002E0562" w:rsidP="003C1324">
      <w:pPr>
        <w:tabs>
          <w:tab w:val="left" w:pos="810"/>
        </w:tabs>
        <w:suppressAutoHyphens/>
        <w:spacing w:after="0" w:line="240" w:lineRule="auto"/>
        <w:contextualSpacing/>
        <w:jc w:val="both"/>
        <w:rPr>
          <w:rFonts w:ascii="Arial" w:hAnsi="Arial" w:cs="Arial"/>
          <w:bCs/>
          <w:color w:val="000000"/>
          <w:sz w:val="24"/>
          <w:szCs w:val="24"/>
          <w:lang w:val="ro-RO"/>
        </w:rPr>
      </w:pPr>
    </w:p>
    <w:p w:rsidR="002E0562" w:rsidRPr="00AD4510" w:rsidRDefault="002E0562" w:rsidP="003C1324">
      <w:pPr>
        <w:tabs>
          <w:tab w:val="left" w:pos="810"/>
        </w:tabs>
        <w:suppressAutoHyphens/>
        <w:spacing w:after="0" w:line="240" w:lineRule="auto"/>
        <w:contextualSpacing/>
        <w:jc w:val="both"/>
        <w:rPr>
          <w:rFonts w:ascii="Arial" w:hAnsi="Arial" w:cs="Arial"/>
          <w:bCs/>
          <w:color w:val="000000"/>
          <w:sz w:val="24"/>
          <w:szCs w:val="24"/>
          <w:lang w:val="ro-RO"/>
        </w:rPr>
      </w:pPr>
      <w:r w:rsidRPr="00AD4510">
        <w:rPr>
          <w:rFonts w:ascii="Arial" w:hAnsi="Arial" w:cs="Arial"/>
          <w:b/>
          <w:bCs/>
          <w:color w:val="000000"/>
          <w:sz w:val="24"/>
          <w:szCs w:val="24"/>
          <w:lang w:val="ro-RO"/>
        </w:rPr>
        <w:t>S-au alocat în bugetele instituţiilor publice suma de 318,8 milioane de lei pentru finanţarea acţiunilor aferente Preşedinţiei Consiliului UE</w:t>
      </w:r>
      <w:r w:rsidRPr="00AD4510">
        <w:rPr>
          <w:rFonts w:ascii="Arial" w:hAnsi="Arial" w:cs="Arial"/>
          <w:bCs/>
          <w:color w:val="000000"/>
          <w:sz w:val="24"/>
          <w:szCs w:val="24"/>
          <w:lang w:val="ro-RO"/>
        </w:rPr>
        <w:t>.</w:t>
      </w:r>
    </w:p>
    <w:p w:rsidR="002E0562" w:rsidRPr="00AD4510" w:rsidRDefault="002E0562" w:rsidP="003C1324">
      <w:pPr>
        <w:tabs>
          <w:tab w:val="left" w:pos="810"/>
        </w:tabs>
        <w:suppressAutoHyphens/>
        <w:spacing w:after="0" w:line="240" w:lineRule="auto"/>
        <w:contextualSpacing/>
        <w:jc w:val="both"/>
        <w:rPr>
          <w:rFonts w:ascii="Arial" w:hAnsi="Arial" w:cs="Arial"/>
          <w:bCs/>
          <w:color w:val="000000"/>
          <w:sz w:val="24"/>
          <w:szCs w:val="24"/>
          <w:lang w:val="ro-RO"/>
        </w:rPr>
      </w:pPr>
    </w:p>
    <w:p w:rsidR="002E0562" w:rsidRPr="00AD4510" w:rsidRDefault="00F816CA" w:rsidP="000F05E0">
      <w:pPr>
        <w:tabs>
          <w:tab w:val="left" w:pos="810"/>
        </w:tabs>
        <w:suppressAutoHyphens/>
        <w:spacing w:after="0" w:line="240" w:lineRule="auto"/>
        <w:contextualSpacing/>
        <w:jc w:val="both"/>
        <w:rPr>
          <w:rFonts w:ascii="Arial" w:hAnsi="Arial" w:cs="Arial"/>
          <w:bCs/>
          <w:color w:val="000000"/>
          <w:sz w:val="24"/>
          <w:szCs w:val="24"/>
          <w:lang w:val="ro-RO"/>
        </w:rPr>
      </w:pPr>
      <w:r>
        <w:rPr>
          <w:rFonts w:ascii="Arial" w:hAnsi="Arial" w:cs="Arial"/>
          <w:b/>
          <w:bCs/>
          <w:color w:val="000000"/>
          <w:sz w:val="24"/>
          <w:szCs w:val="24"/>
          <w:lang w:val="ro-RO"/>
        </w:rPr>
        <w:t>Susținerea</w:t>
      </w:r>
      <w:r w:rsidR="00015F6D">
        <w:rPr>
          <w:rFonts w:ascii="Arial" w:hAnsi="Arial" w:cs="Arial"/>
          <w:b/>
          <w:bCs/>
          <w:color w:val="000000"/>
          <w:sz w:val="24"/>
          <w:szCs w:val="24"/>
          <w:lang w:val="ro-RO"/>
        </w:rPr>
        <w:t xml:space="preserve"> mediului de afaceri - </w:t>
      </w:r>
      <w:r w:rsidR="002E0562" w:rsidRPr="00AD4510">
        <w:rPr>
          <w:rFonts w:ascii="Arial" w:hAnsi="Arial" w:cs="Arial"/>
          <w:bCs/>
          <w:color w:val="000000"/>
          <w:sz w:val="24"/>
          <w:szCs w:val="24"/>
          <w:lang w:val="ro-RO"/>
        </w:rPr>
        <w:t>au fost cuprinse în buget credite de angajament pentru următoarele Programe guvernamentale :</w:t>
      </w:r>
    </w:p>
    <w:p w:rsidR="002E0562" w:rsidRPr="00AD4510" w:rsidRDefault="002E0562" w:rsidP="000F05E0">
      <w:pPr>
        <w:tabs>
          <w:tab w:val="left" w:pos="810"/>
        </w:tabs>
        <w:suppressAutoHyphens/>
        <w:spacing w:after="0" w:line="240" w:lineRule="auto"/>
        <w:contextualSpacing/>
        <w:jc w:val="both"/>
        <w:rPr>
          <w:rFonts w:ascii="Arial" w:hAnsi="Arial" w:cs="Arial"/>
          <w:b/>
          <w:bCs/>
          <w:color w:val="000000"/>
          <w:sz w:val="24"/>
          <w:szCs w:val="24"/>
          <w:lang w:val="ro-RO"/>
        </w:rPr>
      </w:pPr>
    </w:p>
    <w:p w:rsidR="002E0562" w:rsidRPr="00AD4510" w:rsidRDefault="002E0562" w:rsidP="00270D9B">
      <w:pPr>
        <w:contextualSpacing/>
        <w:jc w:val="right"/>
        <w:rPr>
          <w:rFonts w:ascii="Arial" w:hAnsi="Arial" w:cs="Arial"/>
          <w:sz w:val="24"/>
          <w:szCs w:val="24"/>
          <w:lang w:val="ro-RO"/>
        </w:rPr>
      </w:pPr>
      <w:r w:rsidRPr="00AD4510">
        <w:rPr>
          <w:rFonts w:ascii="Arial" w:hAnsi="Arial" w:cs="Arial"/>
          <w:b/>
          <w:sz w:val="28"/>
          <w:szCs w:val="28"/>
          <w:lang w:val="ro-RO"/>
        </w:rPr>
        <w:t xml:space="preserve">   </w:t>
      </w:r>
      <w:r w:rsidRPr="00AD4510">
        <w:rPr>
          <w:rFonts w:ascii="Arial" w:hAnsi="Arial" w:cs="Arial"/>
          <w:b/>
          <w:sz w:val="28"/>
          <w:szCs w:val="28"/>
          <w:lang w:val="ro-RO"/>
        </w:rPr>
        <w:tab/>
      </w:r>
      <w:r w:rsidRPr="00AD4510">
        <w:rPr>
          <w:rFonts w:ascii="Arial" w:hAnsi="Arial" w:cs="Arial"/>
          <w:b/>
          <w:sz w:val="28"/>
          <w:szCs w:val="28"/>
          <w:lang w:val="ro-RO"/>
        </w:rPr>
        <w:tab/>
      </w:r>
      <w:r w:rsidRPr="00AD4510">
        <w:rPr>
          <w:rFonts w:ascii="Arial" w:hAnsi="Arial" w:cs="Arial"/>
          <w:b/>
          <w:sz w:val="28"/>
          <w:szCs w:val="28"/>
          <w:lang w:val="ro-RO"/>
        </w:rPr>
        <w:tab/>
      </w:r>
      <w:r w:rsidRPr="00AD4510">
        <w:rPr>
          <w:rFonts w:ascii="Arial" w:hAnsi="Arial" w:cs="Arial"/>
          <w:b/>
          <w:sz w:val="28"/>
          <w:szCs w:val="28"/>
          <w:lang w:val="ro-RO"/>
        </w:rPr>
        <w:tab/>
      </w:r>
      <w:r w:rsidRPr="00AD4510">
        <w:rPr>
          <w:rFonts w:ascii="Arial" w:hAnsi="Arial" w:cs="Arial"/>
          <w:b/>
          <w:sz w:val="28"/>
          <w:szCs w:val="28"/>
          <w:lang w:val="ro-RO"/>
        </w:rPr>
        <w:tab/>
      </w:r>
      <w:r w:rsidRPr="00AD4510">
        <w:rPr>
          <w:rFonts w:ascii="Arial" w:hAnsi="Arial" w:cs="Arial"/>
          <w:b/>
          <w:sz w:val="28"/>
          <w:szCs w:val="28"/>
          <w:lang w:val="ro-RO"/>
        </w:rPr>
        <w:tab/>
      </w:r>
      <w:r w:rsidRPr="00AD4510">
        <w:rPr>
          <w:rFonts w:ascii="Arial" w:hAnsi="Arial" w:cs="Arial"/>
          <w:b/>
          <w:sz w:val="28"/>
          <w:szCs w:val="28"/>
          <w:lang w:val="ro-RO"/>
        </w:rPr>
        <w:tab/>
      </w:r>
      <w:r w:rsidRPr="00AD4510">
        <w:rPr>
          <w:rFonts w:ascii="Arial" w:hAnsi="Arial" w:cs="Arial"/>
          <w:b/>
          <w:sz w:val="28"/>
          <w:szCs w:val="28"/>
          <w:lang w:val="ro-RO"/>
        </w:rPr>
        <w:tab/>
      </w:r>
      <w:r w:rsidRPr="00AD4510">
        <w:rPr>
          <w:rFonts w:ascii="Arial" w:hAnsi="Arial" w:cs="Arial"/>
          <w:b/>
          <w:sz w:val="28"/>
          <w:szCs w:val="28"/>
          <w:lang w:val="ro-RO"/>
        </w:rPr>
        <w:tab/>
      </w:r>
      <w:r w:rsidRPr="00AD4510">
        <w:rPr>
          <w:rFonts w:ascii="Arial" w:hAnsi="Arial" w:cs="Arial"/>
          <w:b/>
          <w:sz w:val="28"/>
          <w:szCs w:val="28"/>
          <w:lang w:val="ro-RO"/>
        </w:rPr>
        <w:tab/>
      </w:r>
      <w:r w:rsidRPr="00AD4510">
        <w:rPr>
          <w:rFonts w:ascii="Arial" w:hAnsi="Arial" w:cs="Arial"/>
          <w:sz w:val="24"/>
          <w:szCs w:val="24"/>
          <w:lang w:val="ro-RO"/>
        </w:rPr>
        <w:t>- milioane lei -</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90"/>
        <w:gridCol w:w="951"/>
        <w:gridCol w:w="817"/>
        <w:gridCol w:w="951"/>
        <w:gridCol w:w="817"/>
      </w:tblGrid>
      <w:tr w:rsidR="002E0562" w:rsidRPr="00AD4510" w:rsidTr="003544D6">
        <w:tc>
          <w:tcPr>
            <w:tcW w:w="6284" w:type="dxa"/>
          </w:tcPr>
          <w:p w:rsidR="002E0562" w:rsidRPr="00AD4510" w:rsidRDefault="002E0562" w:rsidP="003544D6">
            <w:pPr>
              <w:spacing w:before="120" w:after="120" w:line="240" w:lineRule="auto"/>
              <w:contextualSpacing/>
              <w:rPr>
                <w:rFonts w:ascii="Arial" w:hAnsi="Arial" w:cs="Arial"/>
                <w:sz w:val="24"/>
                <w:szCs w:val="24"/>
                <w:lang w:val="ro-RO"/>
              </w:rPr>
            </w:pPr>
          </w:p>
        </w:tc>
        <w:tc>
          <w:tcPr>
            <w:tcW w:w="0" w:type="auto"/>
            <w:vAlign w:val="bottom"/>
          </w:tcPr>
          <w:p w:rsidR="002E0562" w:rsidRPr="00AD4510" w:rsidRDefault="002E0562" w:rsidP="003544D6">
            <w:pPr>
              <w:spacing w:before="120" w:after="120" w:line="240" w:lineRule="auto"/>
              <w:contextualSpacing/>
              <w:jc w:val="center"/>
              <w:rPr>
                <w:rFonts w:ascii="Arial" w:hAnsi="Arial" w:cs="Arial"/>
                <w:b/>
                <w:sz w:val="24"/>
                <w:szCs w:val="24"/>
                <w:lang w:val="ro-RO"/>
              </w:rPr>
            </w:pPr>
          </w:p>
          <w:p w:rsidR="002E0562" w:rsidRPr="00AD4510" w:rsidRDefault="002E0562" w:rsidP="003544D6">
            <w:pPr>
              <w:spacing w:before="120" w:after="120" w:line="240" w:lineRule="auto"/>
              <w:contextualSpacing/>
              <w:jc w:val="center"/>
              <w:rPr>
                <w:rFonts w:ascii="Arial" w:hAnsi="Arial" w:cs="Arial"/>
                <w:b/>
                <w:sz w:val="24"/>
                <w:szCs w:val="24"/>
                <w:lang w:val="ro-RO"/>
              </w:rPr>
            </w:pPr>
            <w:r w:rsidRPr="00AD4510">
              <w:rPr>
                <w:rFonts w:ascii="Arial" w:hAnsi="Arial" w:cs="Arial"/>
                <w:b/>
                <w:sz w:val="24"/>
                <w:szCs w:val="24"/>
                <w:lang w:val="ro-RO"/>
              </w:rPr>
              <w:t>Total</w:t>
            </w:r>
          </w:p>
        </w:tc>
        <w:tc>
          <w:tcPr>
            <w:tcW w:w="0" w:type="auto"/>
            <w:vAlign w:val="bottom"/>
          </w:tcPr>
          <w:p w:rsidR="002E0562" w:rsidRPr="00AD4510" w:rsidRDefault="002E0562" w:rsidP="003544D6">
            <w:pPr>
              <w:spacing w:before="120" w:after="120" w:line="240" w:lineRule="auto"/>
              <w:contextualSpacing/>
              <w:jc w:val="center"/>
              <w:rPr>
                <w:rFonts w:ascii="Arial" w:hAnsi="Arial" w:cs="Arial"/>
                <w:b/>
                <w:sz w:val="24"/>
                <w:szCs w:val="24"/>
                <w:lang w:val="ro-RO"/>
              </w:rPr>
            </w:pPr>
            <w:r w:rsidRPr="00AD4510">
              <w:rPr>
                <w:rFonts w:ascii="Arial" w:hAnsi="Arial" w:cs="Arial"/>
                <w:b/>
                <w:sz w:val="24"/>
                <w:szCs w:val="24"/>
                <w:lang w:val="ro-RO"/>
              </w:rPr>
              <w:t>2019</w:t>
            </w:r>
          </w:p>
        </w:tc>
        <w:tc>
          <w:tcPr>
            <w:tcW w:w="0" w:type="auto"/>
            <w:vAlign w:val="bottom"/>
          </w:tcPr>
          <w:p w:rsidR="002E0562" w:rsidRPr="00AD4510" w:rsidRDefault="002E0562" w:rsidP="003544D6">
            <w:pPr>
              <w:spacing w:before="120" w:after="120" w:line="240" w:lineRule="auto"/>
              <w:contextualSpacing/>
              <w:jc w:val="center"/>
              <w:rPr>
                <w:rFonts w:ascii="Arial" w:hAnsi="Arial" w:cs="Arial"/>
                <w:b/>
                <w:sz w:val="24"/>
                <w:szCs w:val="24"/>
                <w:lang w:val="ro-RO"/>
              </w:rPr>
            </w:pPr>
            <w:r w:rsidRPr="00AD4510">
              <w:rPr>
                <w:rFonts w:ascii="Arial" w:hAnsi="Arial" w:cs="Arial"/>
                <w:b/>
                <w:sz w:val="24"/>
                <w:szCs w:val="24"/>
                <w:lang w:val="ro-RO"/>
              </w:rPr>
              <w:t>2020</w:t>
            </w:r>
          </w:p>
        </w:tc>
        <w:tc>
          <w:tcPr>
            <w:tcW w:w="0" w:type="auto"/>
            <w:vAlign w:val="bottom"/>
          </w:tcPr>
          <w:p w:rsidR="002E0562" w:rsidRPr="00AD4510" w:rsidRDefault="002E0562" w:rsidP="003544D6">
            <w:pPr>
              <w:spacing w:before="120" w:after="120" w:line="240" w:lineRule="auto"/>
              <w:contextualSpacing/>
              <w:jc w:val="center"/>
              <w:rPr>
                <w:rFonts w:ascii="Arial" w:hAnsi="Arial" w:cs="Arial"/>
                <w:b/>
                <w:sz w:val="24"/>
                <w:szCs w:val="24"/>
                <w:lang w:val="ro-RO"/>
              </w:rPr>
            </w:pPr>
            <w:r w:rsidRPr="00AD4510">
              <w:rPr>
                <w:rFonts w:ascii="Arial" w:hAnsi="Arial" w:cs="Arial"/>
                <w:b/>
                <w:sz w:val="24"/>
                <w:szCs w:val="24"/>
                <w:lang w:val="ro-RO"/>
              </w:rPr>
              <w:t>2021</w:t>
            </w:r>
          </w:p>
        </w:tc>
      </w:tr>
      <w:tr w:rsidR="002E0562" w:rsidRPr="00AD4510" w:rsidTr="003544D6">
        <w:tc>
          <w:tcPr>
            <w:tcW w:w="6284" w:type="dxa"/>
          </w:tcPr>
          <w:p w:rsidR="002E0562" w:rsidRPr="00AD4510" w:rsidRDefault="002E0562" w:rsidP="003544D6">
            <w:pPr>
              <w:spacing w:before="120" w:after="120" w:line="240" w:lineRule="auto"/>
              <w:rPr>
                <w:rFonts w:ascii="Arial" w:hAnsi="Arial" w:cs="Arial"/>
                <w:sz w:val="24"/>
                <w:szCs w:val="24"/>
                <w:lang w:val="ro-RO"/>
              </w:rPr>
            </w:pPr>
            <w:r w:rsidRPr="00AD4510">
              <w:rPr>
                <w:rFonts w:ascii="Arial" w:hAnsi="Arial" w:cs="Arial"/>
                <w:sz w:val="24"/>
                <w:szCs w:val="24"/>
                <w:lang w:val="ro-RO"/>
              </w:rPr>
              <w:t xml:space="preserve">1. Program privind sprijinirea industriei cinematografice </w:t>
            </w:r>
          </w:p>
          <w:p w:rsidR="002E0562" w:rsidRPr="00AD4510" w:rsidRDefault="002E0562" w:rsidP="003544D6">
            <w:pPr>
              <w:spacing w:before="120" w:after="120" w:line="240" w:lineRule="auto"/>
              <w:rPr>
                <w:rFonts w:ascii="Arial" w:hAnsi="Arial" w:cs="Arial"/>
                <w:sz w:val="24"/>
                <w:szCs w:val="24"/>
                <w:lang w:val="ro-RO"/>
              </w:rPr>
            </w:pPr>
            <w:r w:rsidRPr="00AD4510">
              <w:rPr>
                <w:rFonts w:ascii="Arial" w:hAnsi="Arial" w:cs="Arial"/>
                <w:sz w:val="24"/>
                <w:szCs w:val="24"/>
                <w:lang w:val="ro-RO"/>
              </w:rPr>
              <w:t xml:space="preserve">- până la 31 decembrie 2020 </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466</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233</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233</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w:t>
            </w:r>
          </w:p>
        </w:tc>
      </w:tr>
      <w:tr w:rsidR="002E0562" w:rsidRPr="00AD4510" w:rsidTr="003544D6">
        <w:tc>
          <w:tcPr>
            <w:tcW w:w="6284" w:type="dxa"/>
          </w:tcPr>
          <w:p w:rsidR="002E0562" w:rsidRPr="00AD4510" w:rsidRDefault="002E0562" w:rsidP="003544D6">
            <w:pPr>
              <w:spacing w:before="120" w:after="120" w:line="240" w:lineRule="auto"/>
              <w:rPr>
                <w:rFonts w:ascii="Arial" w:hAnsi="Arial" w:cs="Arial"/>
                <w:sz w:val="24"/>
                <w:szCs w:val="24"/>
                <w:lang w:val="ro-RO"/>
              </w:rPr>
            </w:pPr>
            <w:r w:rsidRPr="00AD4510">
              <w:rPr>
                <w:rFonts w:ascii="Arial" w:hAnsi="Arial" w:cs="Arial"/>
                <w:sz w:val="24"/>
                <w:szCs w:val="24"/>
                <w:lang w:val="ro-RO"/>
              </w:rPr>
              <w:t>2. Program guvernamental "INVESTEŞTE ÎN TINE"</w:t>
            </w:r>
          </w:p>
          <w:p w:rsidR="002E0562" w:rsidRPr="00AD4510" w:rsidRDefault="002E0562" w:rsidP="003544D6">
            <w:pPr>
              <w:spacing w:before="120" w:after="120" w:line="240" w:lineRule="auto"/>
              <w:rPr>
                <w:rFonts w:ascii="Arial" w:hAnsi="Arial" w:cs="Arial"/>
                <w:sz w:val="24"/>
                <w:szCs w:val="24"/>
                <w:lang w:val="ro-RO"/>
              </w:rPr>
            </w:pPr>
            <w:r w:rsidRPr="00AD4510">
              <w:rPr>
                <w:rFonts w:ascii="Arial" w:hAnsi="Arial" w:cs="Arial"/>
                <w:sz w:val="24"/>
                <w:szCs w:val="24"/>
                <w:lang w:val="ro-RO"/>
              </w:rPr>
              <w:t>(100000 persoane *6% anual* 40000)</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180</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60</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60</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60</w:t>
            </w:r>
          </w:p>
        </w:tc>
      </w:tr>
      <w:tr w:rsidR="002E0562" w:rsidRPr="00AD4510" w:rsidTr="003544D6">
        <w:tc>
          <w:tcPr>
            <w:tcW w:w="6284" w:type="dxa"/>
          </w:tcPr>
          <w:p w:rsidR="002E0562" w:rsidRPr="00AD4510" w:rsidRDefault="002E0562" w:rsidP="003544D6">
            <w:pPr>
              <w:spacing w:before="120" w:after="120" w:line="240" w:lineRule="auto"/>
              <w:rPr>
                <w:rFonts w:ascii="Arial" w:hAnsi="Arial" w:cs="Arial"/>
                <w:sz w:val="24"/>
                <w:szCs w:val="24"/>
                <w:lang w:val="ro-RO"/>
              </w:rPr>
            </w:pPr>
            <w:r w:rsidRPr="00AD4510">
              <w:rPr>
                <w:rFonts w:ascii="Arial" w:hAnsi="Arial" w:cs="Arial"/>
                <w:sz w:val="24"/>
                <w:szCs w:val="24"/>
                <w:lang w:val="ro-RO"/>
              </w:rPr>
              <w:t>3. Program guvernamental „gROwth  - investim în locuinţe de serviciu” (beneficiari 500 societăţi)</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800</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100</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300</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400</w:t>
            </w:r>
          </w:p>
        </w:tc>
      </w:tr>
      <w:tr w:rsidR="002E0562" w:rsidRPr="00AD4510" w:rsidTr="003544D6">
        <w:tc>
          <w:tcPr>
            <w:tcW w:w="6284" w:type="dxa"/>
          </w:tcPr>
          <w:p w:rsidR="002E0562" w:rsidRPr="00AD4510" w:rsidRDefault="002E0562" w:rsidP="003544D6">
            <w:pPr>
              <w:spacing w:before="120" w:after="120" w:line="240" w:lineRule="auto"/>
              <w:rPr>
                <w:rFonts w:ascii="Arial" w:hAnsi="Arial" w:cs="Arial"/>
                <w:sz w:val="24"/>
                <w:szCs w:val="24"/>
                <w:lang w:val="ro-RO"/>
              </w:rPr>
            </w:pPr>
            <w:r w:rsidRPr="00AD4510">
              <w:rPr>
                <w:rFonts w:ascii="Arial" w:hAnsi="Arial" w:cs="Arial"/>
                <w:sz w:val="24"/>
                <w:szCs w:val="24"/>
                <w:lang w:val="ro-RO"/>
              </w:rPr>
              <w:t>4. Program guvernamental „gROwth - investim în copii, investim în viitor” (circa 2000 grădiniţe)</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2400</w:t>
            </w:r>
          </w:p>
        </w:tc>
        <w:tc>
          <w:tcPr>
            <w:tcW w:w="0" w:type="auto"/>
            <w:vAlign w:val="bottom"/>
          </w:tcPr>
          <w:p w:rsidR="002E0562" w:rsidRPr="00F816CA" w:rsidRDefault="002E0562" w:rsidP="003544D6">
            <w:pPr>
              <w:spacing w:before="120" w:after="120" w:line="240" w:lineRule="auto"/>
              <w:jc w:val="center"/>
              <w:rPr>
                <w:rFonts w:ascii="Arial" w:hAnsi="Arial" w:cs="Arial"/>
                <w:sz w:val="24"/>
                <w:szCs w:val="24"/>
                <w:lang w:val="ro-RO"/>
              </w:rPr>
            </w:pPr>
            <w:r w:rsidRPr="00F816CA">
              <w:rPr>
                <w:rFonts w:ascii="Arial" w:hAnsi="Arial" w:cs="Arial"/>
                <w:sz w:val="24"/>
                <w:szCs w:val="24"/>
                <w:lang w:val="ro-RO"/>
              </w:rPr>
              <w:t xml:space="preserve">300 </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1000</w:t>
            </w:r>
          </w:p>
        </w:tc>
        <w:tc>
          <w:tcPr>
            <w:tcW w:w="0" w:type="auto"/>
            <w:vAlign w:val="bottom"/>
          </w:tcPr>
          <w:p w:rsidR="002E0562" w:rsidRPr="00AD4510" w:rsidRDefault="002E0562" w:rsidP="00665A91">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1</w:t>
            </w:r>
            <w:r>
              <w:rPr>
                <w:rFonts w:ascii="Arial" w:hAnsi="Arial" w:cs="Arial"/>
                <w:sz w:val="24"/>
                <w:szCs w:val="24"/>
                <w:lang w:val="ro-RO"/>
              </w:rPr>
              <w:t>1</w:t>
            </w:r>
            <w:r w:rsidRPr="00AD4510">
              <w:rPr>
                <w:rFonts w:ascii="Arial" w:hAnsi="Arial" w:cs="Arial"/>
                <w:sz w:val="24"/>
                <w:szCs w:val="24"/>
                <w:lang w:val="ro-RO"/>
              </w:rPr>
              <w:t>00</w:t>
            </w:r>
          </w:p>
        </w:tc>
      </w:tr>
      <w:tr w:rsidR="002E0562" w:rsidRPr="00AD4510" w:rsidTr="003544D6">
        <w:tc>
          <w:tcPr>
            <w:tcW w:w="6284" w:type="dxa"/>
          </w:tcPr>
          <w:p w:rsidR="002E0562" w:rsidRPr="00AD4510" w:rsidRDefault="002E0562" w:rsidP="003544D6">
            <w:pPr>
              <w:spacing w:before="120" w:after="120" w:line="240" w:lineRule="auto"/>
              <w:rPr>
                <w:rFonts w:ascii="Arial" w:hAnsi="Arial" w:cs="Arial"/>
                <w:sz w:val="24"/>
                <w:szCs w:val="24"/>
                <w:lang w:val="ro-RO"/>
              </w:rPr>
            </w:pPr>
            <w:r w:rsidRPr="00AD4510">
              <w:rPr>
                <w:rFonts w:ascii="Arial" w:hAnsi="Arial" w:cs="Arial"/>
                <w:sz w:val="24"/>
                <w:szCs w:val="24"/>
                <w:lang w:val="ro-RO"/>
              </w:rPr>
              <w:lastRenderedPageBreak/>
              <w:t>5. Program privind asistența socială a persoanelor vârstnice "Rezidente 5"</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6000</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2000</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2000</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2000</w:t>
            </w:r>
          </w:p>
        </w:tc>
      </w:tr>
      <w:tr w:rsidR="002E0562" w:rsidRPr="00AD4510" w:rsidTr="003544D6">
        <w:tc>
          <w:tcPr>
            <w:tcW w:w="6284" w:type="dxa"/>
          </w:tcPr>
          <w:p w:rsidR="002E0562" w:rsidRPr="00AD4510" w:rsidRDefault="002E0562" w:rsidP="003544D6">
            <w:pPr>
              <w:spacing w:before="120" w:after="120" w:line="240" w:lineRule="auto"/>
              <w:rPr>
                <w:rFonts w:ascii="Arial" w:hAnsi="Arial" w:cs="Arial"/>
                <w:sz w:val="24"/>
                <w:szCs w:val="24"/>
                <w:lang w:val="ro-RO"/>
              </w:rPr>
            </w:pPr>
            <w:r w:rsidRPr="00AD4510">
              <w:rPr>
                <w:rFonts w:ascii="Arial" w:hAnsi="Arial" w:cs="Arial"/>
                <w:sz w:val="24"/>
                <w:szCs w:val="24"/>
                <w:lang w:val="ro-RO"/>
              </w:rPr>
              <w:t>6. Program privind contul de economisire Junior</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22</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2</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10</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10</w:t>
            </w:r>
          </w:p>
        </w:tc>
      </w:tr>
      <w:tr w:rsidR="002E0562" w:rsidRPr="00AD4510" w:rsidTr="003544D6">
        <w:tc>
          <w:tcPr>
            <w:tcW w:w="6284" w:type="dxa"/>
          </w:tcPr>
          <w:p w:rsidR="002E0562" w:rsidRPr="00AD4510" w:rsidRDefault="002E0562" w:rsidP="003544D6">
            <w:pPr>
              <w:spacing w:before="120" w:after="120" w:line="240" w:lineRule="auto"/>
              <w:rPr>
                <w:rFonts w:ascii="Arial" w:hAnsi="Arial" w:cs="Arial"/>
                <w:sz w:val="24"/>
                <w:szCs w:val="24"/>
                <w:lang w:val="ro-RO"/>
              </w:rPr>
            </w:pPr>
            <w:r w:rsidRPr="00AD4510">
              <w:rPr>
                <w:rFonts w:ascii="Arial" w:hAnsi="Arial" w:cs="Arial"/>
                <w:sz w:val="24"/>
                <w:szCs w:val="24"/>
                <w:lang w:val="ro-RO"/>
              </w:rPr>
              <w:t>7. Program privind ajutorul de stat pentru creşterea gradului de ocupare în zonele cu şomaj ridicat</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6000</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2000</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2000</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2000</w:t>
            </w:r>
          </w:p>
        </w:tc>
      </w:tr>
      <w:tr w:rsidR="002E0562" w:rsidRPr="00AD4510" w:rsidTr="003544D6">
        <w:tc>
          <w:tcPr>
            <w:tcW w:w="6284" w:type="dxa"/>
          </w:tcPr>
          <w:p w:rsidR="002E0562" w:rsidRPr="00AD4510" w:rsidRDefault="002E0562" w:rsidP="003544D6">
            <w:pPr>
              <w:spacing w:before="120" w:after="120" w:line="240" w:lineRule="auto"/>
              <w:rPr>
                <w:rFonts w:ascii="Arial" w:hAnsi="Arial" w:cs="Arial"/>
                <w:sz w:val="24"/>
                <w:szCs w:val="24"/>
                <w:lang w:val="ro-RO"/>
              </w:rPr>
            </w:pPr>
            <w:r w:rsidRPr="00AD4510">
              <w:rPr>
                <w:rFonts w:ascii="Arial" w:hAnsi="Arial" w:cs="Arial"/>
                <w:sz w:val="24"/>
                <w:szCs w:val="24"/>
                <w:lang w:val="ro-RO"/>
              </w:rPr>
              <w:t>8. Program pentru dezvoltarea afacerilor mici -ajutor de minimis de 200000 euro (2 ani)</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4000</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1500</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2500</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w:t>
            </w:r>
          </w:p>
        </w:tc>
      </w:tr>
      <w:tr w:rsidR="002E0562" w:rsidRPr="00AD4510" w:rsidTr="003544D6">
        <w:tc>
          <w:tcPr>
            <w:tcW w:w="6284" w:type="dxa"/>
          </w:tcPr>
          <w:p w:rsidR="002E0562" w:rsidRPr="00AD4510" w:rsidRDefault="002E0562" w:rsidP="003544D6">
            <w:pPr>
              <w:spacing w:before="120" w:after="120" w:line="240" w:lineRule="auto"/>
              <w:rPr>
                <w:rFonts w:ascii="Arial" w:hAnsi="Arial" w:cs="Arial"/>
                <w:sz w:val="24"/>
                <w:szCs w:val="24"/>
                <w:lang w:val="ro-RO"/>
              </w:rPr>
            </w:pPr>
            <w:r w:rsidRPr="00AD4510">
              <w:rPr>
                <w:rFonts w:ascii="Arial" w:hAnsi="Arial" w:cs="Arial"/>
                <w:sz w:val="24"/>
                <w:szCs w:val="24"/>
                <w:lang w:val="ro-RO"/>
              </w:rPr>
              <w:t>9. Centre de radioterapie pentru copii si adulţi (20 de centre în 2 ani)</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2500</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1000</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1500</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w:t>
            </w:r>
          </w:p>
        </w:tc>
      </w:tr>
      <w:tr w:rsidR="002E0562" w:rsidRPr="00AD4510" w:rsidTr="003544D6">
        <w:tc>
          <w:tcPr>
            <w:tcW w:w="6284" w:type="dxa"/>
          </w:tcPr>
          <w:p w:rsidR="002E0562" w:rsidRPr="00AD4510" w:rsidRDefault="002E0562" w:rsidP="003544D6">
            <w:pPr>
              <w:spacing w:before="120" w:after="120" w:line="240" w:lineRule="auto"/>
              <w:rPr>
                <w:rFonts w:ascii="Arial" w:hAnsi="Arial" w:cs="Arial"/>
                <w:sz w:val="24"/>
                <w:szCs w:val="24"/>
                <w:lang w:val="ro-RO"/>
              </w:rPr>
            </w:pPr>
            <w:r w:rsidRPr="00AD4510">
              <w:rPr>
                <w:rFonts w:ascii="Arial" w:hAnsi="Arial" w:cs="Arial"/>
                <w:sz w:val="24"/>
                <w:szCs w:val="24"/>
                <w:lang w:val="ro-RO"/>
              </w:rPr>
              <w:t xml:space="preserve">10. Centre multifunctionale rurale </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1000</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200</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400</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400</w:t>
            </w:r>
          </w:p>
        </w:tc>
      </w:tr>
      <w:tr w:rsidR="002E0562" w:rsidRPr="00AD4510" w:rsidTr="003544D6">
        <w:tc>
          <w:tcPr>
            <w:tcW w:w="6284" w:type="dxa"/>
          </w:tcPr>
          <w:p w:rsidR="002E0562" w:rsidRPr="00AD4510" w:rsidRDefault="002E0562" w:rsidP="003544D6">
            <w:pPr>
              <w:spacing w:before="120" w:after="120" w:line="240" w:lineRule="auto"/>
              <w:rPr>
                <w:rFonts w:ascii="Arial" w:hAnsi="Arial" w:cs="Arial"/>
                <w:sz w:val="24"/>
                <w:szCs w:val="24"/>
                <w:lang w:val="ro-RO"/>
              </w:rPr>
            </w:pPr>
            <w:r w:rsidRPr="00AD4510">
              <w:rPr>
                <w:rFonts w:ascii="Arial" w:hAnsi="Arial" w:cs="Arial"/>
                <w:sz w:val="24"/>
                <w:szCs w:val="24"/>
                <w:lang w:val="ro-RO"/>
              </w:rPr>
              <w:t>11. Programe de dezvoltare a Regiunii Nord-Est</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10000</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2000</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4000</w:t>
            </w:r>
          </w:p>
        </w:tc>
        <w:tc>
          <w:tcPr>
            <w:tcW w:w="0" w:type="auto"/>
            <w:vAlign w:val="bottom"/>
          </w:tcPr>
          <w:p w:rsidR="002E0562" w:rsidRPr="00AD4510" w:rsidRDefault="002E0562" w:rsidP="003544D6">
            <w:pPr>
              <w:spacing w:before="120" w:after="120" w:line="240" w:lineRule="auto"/>
              <w:jc w:val="center"/>
              <w:rPr>
                <w:rFonts w:ascii="Arial" w:hAnsi="Arial" w:cs="Arial"/>
                <w:sz w:val="24"/>
                <w:szCs w:val="24"/>
                <w:lang w:val="ro-RO"/>
              </w:rPr>
            </w:pPr>
            <w:r w:rsidRPr="00AD4510">
              <w:rPr>
                <w:rFonts w:ascii="Arial" w:hAnsi="Arial" w:cs="Arial"/>
                <w:sz w:val="24"/>
                <w:szCs w:val="24"/>
                <w:lang w:val="ro-RO"/>
              </w:rPr>
              <w:t>4000</w:t>
            </w:r>
          </w:p>
        </w:tc>
      </w:tr>
      <w:tr w:rsidR="002E0562" w:rsidRPr="00AD4510" w:rsidTr="003544D6">
        <w:tc>
          <w:tcPr>
            <w:tcW w:w="6284" w:type="dxa"/>
            <w:vAlign w:val="bottom"/>
          </w:tcPr>
          <w:p w:rsidR="002E0562" w:rsidRPr="00AD4510" w:rsidRDefault="002E0562" w:rsidP="003544D6">
            <w:pPr>
              <w:spacing w:before="120" w:after="120" w:line="240" w:lineRule="auto"/>
              <w:jc w:val="right"/>
              <w:rPr>
                <w:rFonts w:ascii="Arial" w:hAnsi="Arial" w:cs="Arial"/>
                <w:b/>
                <w:sz w:val="24"/>
                <w:szCs w:val="24"/>
                <w:lang w:val="ro-RO"/>
              </w:rPr>
            </w:pPr>
            <w:r w:rsidRPr="00AD4510">
              <w:rPr>
                <w:rFonts w:ascii="Arial" w:hAnsi="Arial" w:cs="Arial"/>
                <w:b/>
                <w:sz w:val="24"/>
                <w:szCs w:val="24"/>
                <w:lang w:val="ro-RO"/>
              </w:rPr>
              <w:t>Total</w:t>
            </w:r>
          </w:p>
        </w:tc>
        <w:tc>
          <w:tcPr>
            <w:tcW w:w="0" w:type="auto"/>
            <w:vAlign w:val="center"/>
          </w:tcPr>
          <w:p w:rsidR="002E0562" w:rsidRPr="00AD4510" w:rsidRDefault="002E0562" w:rsidP="003544D6">
            <w:pPr>
              <w:spacing w:after="0" w:line="240" w:lineRule="auto"/>
              <w:jc w:val="center"/>
              <w:rPr>
                <w:rFonts w:ascii="Arial" w:hAnsi="Arial" w:cs="Arial"/>
                <w:b/>
                <w:bCs/>
                <w:color w:val="000000"/>
                <w:sz w:val="24"/>
                <w:szCs w:val="24"/>
                <w:lang w:val="ro-RO"/>
              </w:rPr>
            </w:pPr>
            <w:r w:rsidRPr="00AD4510">
              <w:rPr>
                <w:rFonts w:ascii="Arial" w:hAnsi="Arial" w:cs="Arial"/>
                <w:b/>
                <w:bCs/>
                <w:color w:val="000000"/>
                <w:sz w:val="24"/>
                <w:szCs w:val="24"/>
                <w:lang w:val="ro-RO"/>
              </w:rPr>
              <w:t>33.368</w:t>
            </w:r>
          </w:p>
        </w:tc>
        <w:tc>
          <w:tcPr>
            <w:tcW w:w="0" w:type="auto"/>
            <w:vAlign w:val="center"/>
          </w:tcPr>
          <w:p w:rsidR="002E0562" w:rsidRPr="00AD4510" w:rsidRDefault="002E0562" w:rsidP="00665A91">
            <w:pPr>
              <w:spacing w:after="0" w:line="240" w:lineRule="auto"/>
              <w:jc w:val="center"/>
              <w:rPr>
                <w:rFonts w:ascii="Arial" w:hAnsi="Arial" w:cs="Arial"/>
                <w:b/>
                <w:bCs/>
                <w:color w:val="000000"/>
                <w:sz w:val="24"/>
                <w:szCs w:val="24"/>
                <w:lang w:val="ro-RO"/>
              </w:rPr>
            </w:pPr>
            <w:r w:rsidRPr="00AD4510">
              <w:rPr>
                <w:rFonts w:ascii="Arial" w:hAnsi="Arial" w:cs="Arial"/>
                <w:b/>
                <w:bCs/>
                <w:color w:val="000000"/>
                <w:sz w:val="24"/>
                <w:szCs w:val="24"/>
                <w:lang w:val="ro-RO"/>
              </w:rPr>
              <w:t>9.</w:t>
            </w:r>
            <w:r>
              <w:rPr>
                <w:rFonts w:ascii="Arial" w:hAnsi="Arial" w:cs="Arial"/>
                <w:b/>
                <w:bCs/>
                <w:color w:val="000000"/>
                <w:sz w:val="24"/>
                <w:szCs w:val="24"/>
                <w:lang w:val="ro-RO"/>
              </w:rPr>
              <w:t>3</w:t>
            </w:r>
            <w:r w:rsidRPr="00AD4510">
              <w:rPr>
                <w:rFonts w:ascii="Arial" w:hAnsi="Arial" w:cs="Arial"/>
                <w:b/>
                <w:bCs/>
                <w:color w:val="000000"/>
                <w:sz w:val="24"/>
                <w:szCs w:val="24"/>
                <w:lang w:val="ro-RO"/>
              </w:rPr>
              <w:t>95</w:t>
            </w:r>
          </w:p>
        </w:tc>
        <w:tc>
          <w:tcPr>
            <w:tcW w:w="0" w:type="auto"/>
            <w:vAlign w:val="center"/>
          </w:tcPr>
          <w:p w:rsidR="002E0562" w:rsidRPr="00AD4510" w:rsidRDefault="002E0562" w:rsidP="003544D6">
            <w:pPr>
              <w:spacing w:after="0" w:line="240" w:lineRule="auto"/>
              <w:jc w:val="center"/>
              <w:rPr>
                <w:rFonts w:ascii="Arial" w:hAnsi="Arial" w:cs="Arial"/>
                <w:b/>
                <w:bCs/>
                <w:color w:val="000000"/>
                <w:sz w:val="24"/>
                <w:szCs w:val="24"/>
                <w:lang w:val="ro-RO"/>
              </w:rPr>
            </w:pPr>
            <w:r w:rsidRPr="00AD4510">
              <w:rPr>
                <w:rFonts w:ascii="Arial" w:hAnsi="Arial" w:cs="Arial"/>
                <w:b/>
                <w:bCs/>
                <w:color w:val="000000"/>
                <w:sz w:val="24"/>
                <w:szCs w:val="24"/>
                <w:lang w:val="ro-RO"/>
              </w:rPr>
              <w:t>14.003</w:t>
            </w:r>
          </w:p>
        </w:tc>
        <w:tc>
          <w:tcPr>
            <w:tcW w:w="0" w:type="auto"/>
            <w:vAlign w:val="center"/>
          </w:tcPr>
          <w:p w:rsidR="002E0562" w:rsidRPr="00AD4510" w:rsidRDefault="002E0562" w:rsidP="00665A91">
            <w:pPr>
              <w:spacing w:after="0" w:line="240" w:lineRule="auto"/>
              <w:jc w:val="center"/>
              <w:rPr>
                <w:rFonts w:ascii="Arial" w:hAnsi="Arial" w:cs="Arial"/>
                <w:b/>
                <w:bCs/>
                <w:color w:val="000000"/>
                <w:sz w:val="24"/>
                <w:szCs w:val="24"/>
                <w:lang w:val="ro-RO"/>
              </w:rPr>
            </w:pPr>
            <w:r w:rsidRPr="00AD4510">
              <w:rPr>
                <w:rFonts w:ascii="Arial" w:hAnsi="Arial" w:cs="Arial"/>
                <w:b/>
                <w:bCs/>
                <w:color w:val="000000"/>
                <w:sz w:val="24"/>
                <w:szCs w:val="24"/>
                <w:lang w:val="ro-RO"/>
              </w:rPr>
              <w:t>9.</w:t>
            </w:r>
            <w:r>
              <w:rPr>
                <w:rFonts w:ascii="Arial" w:hAnsi="Arial" w:cs="Arial"/>
                <w:b/>
                <w:bCs/>
                <w:color w:val="000000"/>
                <w:sz w:val="24"/>
                <w:szCs w:val="24"/>
                <w:lang w:val="ro-RO"/>
              </w:rPr>
              <w:t>9</w:t>
            </w:r>
            <w:r w:rsidRPr="00AD4510">
              <w:rPr>
                <w:rFonts w:ascii="Arial" w:hAnsi="Arial" w:cs="Arial"/>
                <w:b/>
                <w:bCs/>
                <w:color w:val="000000"/>
                <w:sz w:val="24"/>
                <w:szCs w:val="24"/>
                <w:lang w:val="ro-RO"/>
              </w:rPr>
              <w:t>70</w:t>
            </w:r>
          </w:p>
        </w:tc>
      </w:tr>
    </w:tbl>
    <w:p w:rsidR="002E0562" w:rsidRPr="00AD4510" w:rsidRDefault="002E0562" w:rsidP="001413FF">
      <w:pPr>
        <w:widowControl w:val="0"/>
        <w:tabs>
          <w:tab w:val="num" w:pos="1920"/>
        </w:tabs>
        <w:spacing w:before="120"/>
        <w:jc w:val="both"/>
        <w:rPr>
          <w:rFonts w:ascii="Arial" w:hAnsi="Arial" w:cs="Arial"/>
          <w:sz w:val="24"/>
          <w:lang w:val="ro-RO"/>
        </w:rPr>
      </w:pPr>
    </w:p>
    <w:p w:rsidR="002E0562" w:rsidRPr="00AD4510" w:rsidRDefault="00470D8C" w:rsidP="003F5B6C">
      <w:pPr>
        <w:jc w:val="both"/>
        <w:rPr>
          <w:rFonts w:ascii="Arial" w:hAnsi="Arial" w:cs="Arial"/>
          <w:sz w:val="24"/>
          <w:szCs w:val="24"/>
          <w:lang w:val="ro-RO"/>
        </w:rPr>
      </w:pPr>
      <w:r>
        <w:rPr>
          <w:rFonts w:ascii="Arial" w:hAnsi="Arial" w:cs="Arial"/>
          <w:b/>
          <w:sz w:val="24"/>
          <w:szCs w:val="24"/>
          <w:lang w:val="ro-RO"/>
        </w:rPr>
        <w:t>De asemenea,</w:t>
      </w:r>
      <w:r w:rsidR="002E0562" w:rsidRPr="00AD4510">
        <w:rPr>
          <w:rFonts w:ascii="Arial" w:hAnsi="Arial" w:cs="Arial"/>
          <w:sz w:val="24"/>
          <w:szCs w:val="24"/>
          <w:lang w:val="ro-RO"/>
        </w:rPr>
        <w:t xml:space="preserve"> în proiectul de buget al Secretariatului General al Guvernului, pentru Comisia Națională de Strategie și Prognoză, sunt cuprinse:</w:t>
      </w:r>
    </w:p>
    <w:p w:rsidR="002E0562" w:rsidRPr="00AD4510" w:rsidRDefault="002E0562" w:rsidP="003F5B6C">
      <w:pPr>
        <w:jc w:val="both"/>
        <w:rPr>
          <w:rFonts w:ascii="Arial" w:hAnsi="Arial" w:cs="Arial"/>
          <w:sz w:val="24"/>
          <w:szCs w:val="24"/>
          <w:lang w:val="ro-RO"/>
        </w:rPr>
      </w:pPr>
      <w:r w:rsidRPr="00AD4510">
        <w:rPr>
          <w:rFonts w:ascii="Arial" w:hAnsi="Arial" w:cs="Arial"/>
          <w:sz w:val="24"/>
          <w:szCs w:val="24"/>
          <w:lang w:val="ro-RO"/>
        </w:rPr>
        <w:t>•pentru Fondul de Dezvoltare şi Investiţii: plată de dobânzi 100</w:t>
      </w:r>
      <w:r w:rsidR="00516050">
        <w:rPr>
          <w:rFonts w:ascii="Arial" w:hAnsi="Arial" w:cs="Arial"/>
          <w:sz w:val="24"/>
          <w:szCs w:val="24"/>
          <w:lang w:val="ro-RO"/>
        </w:rPr>
        <w:t xml:space="preserve"> milioane lei și rambursări de î</w:t>
      </w:r>
      <w:r w:rsidRPr="00AD4510">
        <w:rPr>
          <w:rFonts w:ascii="Arial" w:hAnsi="Arial" w:cs="Arial"/>
          <w:sz w:val="24"/>
          <w:szCs w:val="24"/>
          <w:lang w:val="ro-RO"/>
        </w:rPr>
        <w:t xml:space="preserve">mprumuturi </w:t>
      </w:r>
      <w:r w:rsidR="00516050">
        <w:rPr>
          <w:rFonts w:ascii="Arial" w:hAnsi="Arial" w:cs="Arial"/>
          <w:sz w:val="24"/>
          <w:szCs w:val="24"/>
          <w:lang w:val="ro-RO"/>
        </w:rPr>
        <w:t xml:space="preserve">în valoare de </w:t>
      </w:r>
      <w:r w:rsidRPr="00AD4510">
        <w:rPr>
          <w:rFonts w:ascii="Arial" w:hAnsi="Arial" w:cs="Arial"/>
          <w:sz w:val="24"/>
          <w:szCs w:val="24"/>
          <w:lang w:val="ro-RO"/>
        </w:rPr>
        <w:t>200 milioan</w:t>
      </w:r>
      <w:r w:rsidR="00516050">
        <w:rPr>
          <w:rFonts w:ascii="Arial" w:hAnsi="Arial" w:cs="Arial"/>
          <w:sz w:val="24"/>
          <w:szCs w:val="24"/>
          <w:lang w:val="ro-RO"/>
        </w:rPr>
        <w:t>e lei (aferente unui plafon de î</w:t>
      </w:r>
      <w:r w:rsidRPr="00AD4510">
        <w:rPr>
          <w:rFonts w:ascii="Arial" w:hAnsi="Arial" w:cs="Arial"/>
          <w:sz w:val="24"/>
          <w:szCs w:val="24"/>
          <w:lang w:val="ro-RO"/>
        </w:rPr>
        <w:t>mprumut de 5</w:t>
      </w:r>
      <w:r w:rsidR="00516050">
        <w:rPr>
          <w:rFonts w:ascii="Arial" w:hAnsi="Arial" w:cs="Arial"/>
          <w:sz w:val="24"/>
          <w:szCs w:val="24"/>
          <w:lang w:val="ro-RO"/>
        </w:rPr>
        <w:t xml:space="preserve"> miliarde de </w:t>
      </w:r>
      <w:r w:rsidRPr="00AD4510">
        <w:rPr>
          <w:rFonts w:ascii="Arial" w:hAnsi="Arial" w:cs="Arial"/>
          <w:sz w:val="24"/>
          <w:szCs w:val="24"/>
          <w:lang w:val="ro-RO"/>
        </w:rPr>
        <w:t xml:space="preserve">lei și </w:t>
      </w:r>
      <w:r w:rsidR="00516050">
        <w:rPr>
          <w:rFonts w:ascii="Arial" w:hAnsi="Arial" w:cs="Arial"/>
          <w:sz w:val="24"/>
          <w:szCs w:val="24"/>
          <w:lang w:val="ro-RO"/>
        </w:rPr>
        <w:t xml:space="preserve">un </w:t>
      </w:r>
      <w:r w:rsidRPr="00AD4510">
        <w:rPr>
          <w:rFonts w:ascii="Arial" w:hAnsi="Arial" w:cs="Arial"/>
          <w:sz w:val="24"/>
          <w:szCs w:val="24"/>
          <w:lang w:val="ro-RO"/>
        </w:rPr>
        <w:t xml:space="preserve">plafon </w:t>
      </w:r>
      <w:r w:rsidR="00516050">
        <w:rPr>
          <w:rFonts w:ascii="Arial" w:hAnsi="Arial" w:cs="Arial"/>
          <w:sz w:val="24"/>
          <w:szCs w:val="24"/>
          <w:lang w:val="ro-RO"/>
        </w:rPr>
        <w:t>de trageri de 500 milioane lei).</w:t>
      </w:r>
      <w:r w:rsidRPr="00AD4510">
        <w:rPr>
          <w:rFonts w:ascii="Arial" w:hAnsi="Arial" w:cs="Arial"/>
          <w:sz w:val="24"/>
          <w:szCs w:val="24"/>
          <w:lang w:val="ro-RO"/>
        </w:rPr>
        <w:t xml:space="preserve"> Prin acest Program se asigură împrumuturi </w:t>
      </w:r>
      <w:r w:rsidR="00516050">
        <w:rPr>
          <w:rFonts w:ascii="Arial" w:hAnsi="Arial" w:cs="Arial"/>
          <w:sz w:val="24"/>
          <w:szCs w:val="24"/>
          <w:lang w:val="ro-RO"/>
        </w:rPr>
        <w:t xml:space="preserve">ale </w:t>
      </w:r>
      <w:r w:rsidR="00516050" w:rsidRPr="00AD4510">
        <w:rPr>
          <w:rFonts w:ascii="Arial" w:hAnsi="Arial" w:cs="Arial"/>
          <w:sz w:val="24"/>
          <w:szCs w:val="24"/>
          <w:lang w:val="ro-RO"/>
        </w:rPr>
        <w:t>unităților</w:t>
      </w:r>
      <w:r w:rsidR="00F816CA">
        <w:rPr>
          <w:rFonts w:ascii="Arial" w:hAnsi="Arial" w:cs="Arial"/>
          <w:sz w:val="24"/>
          <w:szCs w:val="24"/>
          <w:lang w:val="ro-RO"/>
        </w:rPr>
        <w:t xml:space="preserve"> administrativ-teritoriale </w:t>
      </w:r>
      <w:r w:rsidRPr="00AD4510">
        <w:rPr>
          <w:rFonts w:ascii="Arial" w:hAnsi="Arial" w:cs="Arial"/>
          <w:sz w:val="24"/>
          <w:szCs w:val="24"/>
          <w:lang w:val="ro-RO"/>
        </w:rPr>
        <w:t xml:space="preserve">şi </w:t>
      </w:r>
      <w:r w:rsidR="00516050">
        <w:rPr>
          <w:rFonts w:ascii="Arial" w:hAnsi="Arial" w:cs="Arial"/>
          <w:sz w:val="24"/>
          <w:szCs w:val="24"/>
          <w:lang w:val="ro-RO"/>
        </w:rPr>
        <w:t xml:space="preserve">ale </w:t>
      </w:r>
      <w:r w:rsidR="00516050" w:rsidRPr="00AD4510">
        <w:rPr>
          <w:rFonts w:ascii="Arial" w:hAnsi="Arial" w:cs="Arial"/>
          <w:sz w:val="24"/>
          <w:szCs w:val="24"/>
          <w:lang w:val="ro-RO"/>
        </w:rPr>
        <w:t>universităților</w:t>
      </w:r>
      <w:r w:rsidRPr="00AD4510">
        <w:rPr>
          <w:rFonts w:ascii="Arial" w:hAnsi="Arial" w:cs="Arial"/>
          <w:sz w:val="24"/>
          <w:szCs w:val="24"/>
          <w:lang w:val="ro-RO"/>
        </w:rPr>
        <w:t xml:space="preserve"> din veniturile trezoreriei pentru investiţii, în conformitate</w:t>
      </w:r>
      <w:r w:rsidR="00516050">
        <w:rPr>
          <w:rFonts w:ascii="Arial" w:hAnsi="Arial" w:cs="Arial"/>
          <w:sz w:val="24"/>
          <w:szCs w:val="24"/>
          <w:lang w:val="ro-RO"/>
        </w:rPr>
        <w:t xml:space="preserve"> cu prevederile OUG nr. 114/2018</w:t>
      </w:r>
      <w:r w:rsidRPr="00AD4510">
        <w:rPr>
          <w:rFonts w:ascii="Arial" w:hAnsi="Arial" w:cs="Arial"/>
          <w:sz w:val="24"/>
          <w:szCs w:val="24"/>
          <w:lang w:val="ro-RO"/>
        </w:rPr>
        <w:t xml:space="preserve">. </w:t>
      </w:r>
    </w:p>
    <w:p w:rsidR="002E0562" w:rsidRPr="00AD4510" w:rsidRDefault="002E0562" w:rsidP="003F5B6C">
      <w:pPr>
        <w:jc w:val="both"/>
        <w:rPr>
          <w:rFonts w:ascii="Arial" w:hAnsi="Arial" w:cs="Arial"/>
          <w:sz w:val="24"/>
          <w:szCs w:val="24"/>
          <w:lang w:val="ro-RO"/>
        </w:rPr>
      </w:pPr>
      <w:r w:rsidRPr="00AD4510">
        <w:rPr>
          <w:rFonts w:ascii="Arial" w:hAnsi="Arial" w:cs="Arial"/>
          <w:sz w:val="24"/>
          <w:szCs w:val="24"/>
          <w:lang w:val="ro-RO"/>
        </w:rPr>
        <w:t xml:space="preserve">•Programul stațiuni balneare, programul "gROwth - investim în copii, investim în viitor", programul "Investeşte în tine", programul Sprijinirea cinematografiei </w:t>
      </w:r>
      <w:r w:rsidR="00516050">
        <w:rPr>
          <w:rFonts w:ascii="Arial" w:hAnsi="Arial" w:cs="Arial"/>
          <w:sz w:val="24"/>
          <w:szCs w:val="24"/>
          <w:lang w:val="ro-RO"/>
        </w:rPr>
        <w:t xml:space="preserve">- </w:t>
      </w:r>
      <w:r w:rsidRPr="00AD4510">
        <w:rPr>
          <w:rFonts w:ascii="Arial" w:hAnsi="Arial" w:cs="Arial"/>
          <w:sz w:val="24"/>
          <w:szCs w:val="24"/>
          <w:lang w:val="ro-RO"/>
        </w:rPr>
        <w:t>995 milioane lei credite de angajament și 162 milioane lei credite bugetare.</w:t>
      </w:r>
    </w:p>
    <w:p w:rsidR="00656592" w:rsidRDefault="00656592" w:rsidP="003F5B6C">
      <w:pPr>
        <w:jc w:val="both"/>
        <w:rPr>
          <w:rFonts w:ascii="Arial" w:hAnsi="Arial" w:cs="Arial"/>
          <w:b/>
          <w:i/>
          <w:sz w:val="24"/>
          <w:szCs w:val="24"/>
          <w:u w:val="single"/>
          <w:lang w:val="ro-RO"/>
        </w:rPr>
      </w:pPr>
    </w:p>
    <w:p w:rsidR="002E0562" w:rsidRPr="00516050" w:rsidRDefault="00516050" w:rsidP="00516050">
      <w:pPr>
        <w:jc w:val="center"/>
        <w:rPr>
          <w:rFonts w:ascii="Arial" w:hAnsi="Arial" w:cs="Arial"/>
          <w:b/>
          <w:sz w:val="24"/>
          <w:szCs w:val="24"/>
          <w:lang w:val="ro-RO"/>
        </w:rPr>
      </w:pPr>
      <w:r w:rsidRPr="00516050">
        <w:rPr>
          <w:rFonts w:ascii="Arial" w:hAnsi="Arial" w:cs="Arial"/>
          <w:b/>
          <w:sz w:val="24"/>
          <w:szCs w:val="24"/>
          <w:lang w:val="ro-RO"/>
        </w:rPr>
        <w:t>Alocări record</w:t>
      </w:r>
      <w:r w:rsidRPr="00516050">
        <w:rPr>
          <w:rFonts w:ascii="Arial" w:hAnsi="Arial" w:cs="Arial"/>
          <w:b/>
          <w:i/>
          <w:sz w:val="24"/>
          <w:szCs w:val="24"/>
          <w:lang w:val="ro-RO"/>
        </w:rPr>
        <w:t xml:space="preserve"> </w:t>
      </w:r>
      <w:r w:rsidRPr="00516050">
        <w:rPr>
          <w:rFonts w:ascii="Arial" w:hAnsi="Arial" w:cs="Arial"/>
          <w:b/>
          <w:sz w:val="24"/>
          <w:szCs w:val="24"/>
          <w:lang w:val="ro-RO"/>
        </w:rPr>
        <w:t>pentru</w:t>
      </w:r>
      <w:r w:rsidRPr="00516050">
        <w:rPr>
          <w:rFonts w:ascii="Arial" w:hAnsi="Arial" w:cs="Arial"/>
          <w:b/>
          <w:i/>
          <w:sz w:val="24"/>
          <w:szCs w:val="24"/>
          <w:lang w:val="ro-RO"/>
        </w:rPr>
        <w:t xml:space="preserve"> </w:t>
      </w:r>
      <w:r w:rsidRPr="00516050">
        <w:rPr>
          <w:rFonts w:ascii="Arial" w:hAnsi="Arial" w:cs="Arial"/>
          <w:b/>
          <w:sz w:val="24"/>
          <w:szCs w:val="24"/>
          <w:lang w:val="ro-RO"/>
        </w:rPr>
        <w:t>bugetele locale</w:t>
      </w:r>
    </w:p>
    <w:p w:rsidR="002E0562" w:rsidRPr="00F816CA" w:rsidRDefault="002E0562" w:rsidP="002622DA">
      <w:pPr>
        <w:numPr>
          <w:ilvl w:val="0"/>
          <w:numId w:val="32"/>
        </w:numPr>
        <w:jc w:val="both"/>
        <w:rPr>
          <w:rFonts w:ascii="Arial" w:hAnsi="Arial" w:cs="Arial"/>
          <w:sz w:val="24"/>
          <w:szCs w:val="24"/>
          <w:lang w:val="ro-RO"/>
        </w:rPr>
      </w:pPr>
      <w:r w:rsidRPr="00F816CA">
        <w:rPr>
          <w:rFonts w:ascii="Arial" w:hAnsi="Arial" w:cs="Arial"/>
          <w:sz w:val="24"/>
          <w:szCs w:val="24"/>
          <w:lang w:val="ro-RO"/>
        </w:rPr>
        <w:t>11,1 miliarde lei se alocă din TVA pentru echilibrarea bugetelor locale, cu 5,4 miliarde lei, respectiv 95%, mai mult</w:t>
      </w:r>
      <w:r w:rsidR="00656592" w:rsidRPr="00F816CA">
        <w:rPr>
          <w:rFonts w:ascii="Arial" w:hAnsi="Arial" w:cs="Arial"/>
          <w:sz w:val="24"/>
          <w:szCs w:val="24"/>
          <w:lang w:val="ro-RO"/>
        </w:rPr>
        <w:t xml:space="preserve"> decât s-a alocat în anul 2018.</w:t>
      </w:r>
      <w:r w:rsidRPr="00F816CA">
        <w:rPr>
          <w:rFonts w:ascii="Arial" w:hAnsi="Arial" w:cs="Arial"/>
          <w:sz w:val="24"/>
          <w:szCs w:val="24"/>
          <w:lang w:val="ro-RO"/>
        </w:rPr>
        <w:t xml:space="preserve"> </w:t>
      </w:r>
      <w:r w:rsidR="00656592" w:rsidRPr="00F816CA">
        <w:rPr>
          <w:rFonts w:ascii="Arial" w:hAnsi="Arial" w:cs="Arial"/>
          <w:sz w:val="24"/>
          <w:szCs w:val="24"/>
          <w:lang w:val="ro-RO"/>
        </w:rPr>
        <w:t>Această sumă</w:t>
      </w:r>
      <w:r w:rsidRPr="00F816CA">
        <w:rPr>
          <w:rFonts w:ascii="Arial" w:hAnsi="Arial" w:cs="Arial"/>
          <w:sz w:val="24"/>
          <w:szCs w:val="24"/>
          <w:lang w:val="ro-RO"/>
        </w:rPr>
        <w:t xml:space="preserve">  se adaugă la veniturile proprii ale unităţilor administrativ teritoriale care se vor încasa în anul 2019 </w:t>
      </w:r>
      <w:r w:rsidR="00656592" w:rsidRPr="00F816CA">
        <w:rPr>
          <w:rFonts w:ascii="Arial" w:hAnsi="Arial" w:cs="Arial"/>
          <w:sz w:val="24"/>
          <w:szCs w:val="24"/>
          <w:lang w:val="ro-RO"/>
        </w:rPr>
        <w:t>precum</w:t>
      </w:r>
      <w:r w:rsidRPr="00F816CA">
        <w:rPr>
          <w:rFonts w:ascii="Arial" w:hAnsi="Arial" w:cs="Arial"/>
          <w:sz w:val="24"/>
          <w:szCs w:val="24"/>
          <w:lang w:val="ro-RO"/>
        </w:rPr>
        <w:t xml:space="preserve"> şi excedentele acumulate până la </w:t>
      </w:r>
      <w:r w:rsidR="00521005" w:rsidRPr="00F816CA">
        <w:rPr>
          <w:rFonts w:ascii="Arial" w:hAnsi="Arial" w:cs="Arial"/>
          <w:sz w:val="24"/>
          <w:szCs w:val="24"/>
          <w:lang w:val="ro-RO"/>
        </w:rPr>
        <w:t>sfârșitul</w:t>
      </w:r>
      <w:r w:rsidRPr="00F816CA">
        <w:rPr>
          <w:rFonts w:ascii="Arial" w:hAnsi="Arial" w:cs="Arial"/>
          <w:sz w:val="24"/>
          <w:szCs w:val="24"/>
          <w:lang w:val="ro-RO"/>
        </w:rPr>
        <w:t xml:space="preserve"> anului 2018</w:t>
      </w:r>
      <w:r w:rsidR="00521005" w:rsidRPr="00F816CA">
        <w:rPr>
          <w:rFonts w:ascii="Arial" w:hAnsi="Arial" w:cs="Arial"/>
          <w:sz w:val="24"/>
          <w:szCs w:val="24"/>
          <w:lang w:val="ro-RO"/>
        </w:rPr>
        <w:t>, în valoare de 13,1 miliarde lei</w:t>
      </w:r>
      <w:r w:rsidRPr="00F816CA">
        <w:rPr>
          <w:rFonts w:ascii="Arial" w:hAnsi="Arial" w:cs="Arial"/>
          <w:sz w:val="24"/>
          <w:szCs w:val="24"/>
          <w:lang w:val="ro-RO"/>
        </w:rPr>
        <w:t xml:space="preserve"> </w:t>
      </w:r>
      <w:r w:rsidR="00521005" w:rsidRPr="00F816CA">
        <w:rPr>
          <w:rFonts w:ascii="Arial" w:hAnsi="Arial" w:cs="Arial"/>
          <w:sz w:val="24"/>
          <w:szCs w:val="24"/>
          <w:lang w:val="ro-RO"/>
        </w:rPr>
        <w:t xml:space="preserve">dar și sumele defalcate din TVA pentru finanțarea cheltuielilor descentralizate, adică </w:t>
      </w:r>
      <w:r w:rsidRPr="00F816CA">
        <w:rPr>
          <w:rFonts w:ascii="Arial" w:hAnsi="Arial" w:cs="Arial"/>
          <w:sz w:val="24"/>
          <w:szCs w:val="24"/>
          <w:lang w:val="ro-RO"/>
        </w:rPr>
        <w:t>2,3 miliarde lei</w:t>
      </w:r>
      <w:r w:rsidR="00521005" w:rsidRPr="00F816CA">
        <w:rPr>
          <w:rFonts w:ascii="Arial" w:hAnsi="Arial" w:cs="Arial"/>
          <w:sz w:val="24"/>
          <w:szCs w:val="24"/>
          <w:lang w:val="ro-RO"/>
        </w:rPr>
        <w:t xml:space="preserve">. </w:t>
      </w:r>
      <w:r w:rsidRPr="00F816CA">
        <w:rPr>
          <w:rFonts w:ascii="Arial" w:hAnsi="Arial" w:cs="Arial"/>
          <w:sz w:val="24"/>
          <w:szCs w:val="24"/>
          <w:lang w:val="ro-RO"/>
        </w:rPr>
        <w:t xml:space="preserve"> </w:t>
      </w:r>
    </w:p>
    <w:p w:rsidR="002E0562" w:rsidRDefault="002E0562" w:rsidP="00B70D07">
      <w:pPr>
        <w:numPr>
          <w:ilvl w:val="0"/>
          <w:numId w:val="32"/>
        </w:numPr>
        <w:jc w:val="both"/>
        <w:rPr>
          <w:rFonts w:ascii="Arial" w:hAnsi="Arial" w:cs="Arial"/>
          <w:sz w:val="24"/>
          <w:szCs w:val="24"/>
          <w:lang w:val="ro-RO"/>
        </w:rPr>
      </w:pPr>
      <w:r>
        <w:rPr>
          <w:rFonts w:ascii="Arial" w:hAnsi="Arial" w:cs="Arial"/>
          <w:sz w:val="24"/>
          <w:szCs w:val="24"/>
          <w:lang w:val="ro-RO"/>
        </w:rPr>
        <w:t xml:space="preserve">100% din impozitul pe venit colectat la bugetul de stat se repartizează </w:t>
      </w:r>
      <w:r w:rsidR="00521005">
        <w:rPr>
          <w:rFonts w:ascii="Arial" w:hAnsi="Arial" w:cs="Arial"/>
          <w:sz w:val="24"/>
          <w:szCs w:val="24"/>
          <w:lang w:val="ro-RO"/>
        </w:rPr>
        <w:t>bugetelor locale, respectiv 22,</w:t>
      </w:r>
      <w:r>
        <w:rPr>
          <w:rFonts w:ascii="Arial" w:hAnsi="Arial" w:cs="Arial"/>
          <w:sz w:val="24"/>
          <w:szCs w:val="24"/>
          <w:lang w:val="ro-RO"/>
        </w:rPr>
        <w:t xml:space="preserve">2 miliarde </w:t>
      </w:r>
      <w:r w:rsidR="00521005">
        <w:rPr>
          <w:rFonts w:ascii="Arial" w:hAnsi="Arial" w:cs="Arial"/>
          <w:sz w:val="24"/>
          <w:szCs w:val="24"/>
          <w:lang w:val="ro-RO"/>
        </w:rPr>
        <w:t xml:space="preserve">de </w:t>
      </w:r>
      <w:r>
        <w:rPr>
          <w:rFonts w:ascii="Arial" w:hAnsi="Arial" w:cs="Arial"/>
          <w:sz w:val="24"/>
          <w:szCs w:val="24"/>
          <w:lang w:val="ro-RO"/>
        </w:rPr>
        <w:t xml:space="preserve">lei, comparativ cu 71,5% (15 miliarde </w:t>
      </w:r>
      <w:r w:rsidR="00521005">
        <w:rPr>
          <w:rFonts w:ascii="Arial" w:hAnsi="Arial" w:cs="Arial"/>
          <w:sz w:val="24"/>
          <w:szCs w:val="24"/>
          <w:lang w:val="ro-RO"/>
        </w:rPr>
        <w:t xml:space="preserve">de </w:t>
      </w:r>
      <w:r>
        <w:rPr>
          <w:rFonts w:ascii="Arial" w:hAnsi="Arial" w:cs="Arial"/>
          <w:sz w:val="24"/>
          <w:szCs w:val="24"/>
          <w:lang w:val="ro-RO"/>
        </w:rPr>
        <w:t>lei) cât s-a repartizat în anul 2018;</w:t>
      </w:r>
    </w:p>
    <w:p w:rsidR="002E0562" w:rsidRDefault="002E0562" w:rsidP="00B70D07">
      <w:pPr>
        <w:numPr>
          <w:ilvl w:val="0"/>
          <w:numId w:val="32"/>
        </w:numPr>
        <w:jc w:val="both"/>
        <w:rPr>
          <w:rFonts w:ascii="Arial" w:hAnsi="Arial" w:cs="Arial"/>
          <w:sz w:val="24"/>
          <w:szCs w:val="24"/>
          <w:lang w:val="ro-RO"/>
        </w:rPr>
      </w:pPr>
      <w:r>
        <w:rPr>
          <w:rFonts w:ascii="Arial" w:hAnsi="Arial" w:cs="Arial"/>
          <w:sz w:val="24"/>
          <w:szCs w:val="24"/>
          <w:lang w:val="ro-RO"/>
        </w:rPr>
        <w:lastRenderedPageBreak/>
        <w:t xml:space="preserve">10,9 miliarde </w:t>
      </w:r>
      <w:r w:rsidR="00521005">
        <w:rPr>
          <w:rFonts w:ascii="Arial" w:hAnsi="Arial" w:cs="Arial"/>
          <w:sz w:val="24"/>
          <w:szCs w:val="24"/>
          <w:lang w:val="ro-RO"/>
        </w:rPr>
        <w:t xml:space="preserve">de </w:t>
      </w:r>
      <w:r>
        <w:rPr>
          <w:rFonts w:ascii="Arial" w:hAnsi="Arial" w:cs="Arial"/>
          <w:sz w:val="24"/>
          <w:szCs w:val="24"/>
          <w:lang w:val="ro-RO"/>
        </w:rPr>
        <w:t>lei – total</w:t>
      </w:r>
      <w:r w:rsidR="00521005">
        <w:rPr>
          <w:rFonts w:ascii="Arial" w:hAnsi="Arial" w:cs="Arial"/>
          <w:sz w:val="24"/>
          <w:szCs w:val="24"/>
          <w:lang w:val="ro-RO"/>
        </w:rPr>
        <w:t>ul</w:t>
      </w:r>
      <w:r>
        <w:rPr>
          <w:rFonts w:ascii="Arial" w:hAnsi="Arial" w:cs="Arial"/>
          <w:sz w:val="24"/>
          <w:szCs w:val="24"/>
          <w:lang w:val="ro-RO"/>
        </w:rPr>
        <w:t xml:space="preserve"> </w:t>
      </w:r>
      <w:r w:rsidR="00521005">
        <w:rPr>
          <w:rFonts w:ascii="Arial" w:hAnsi="Arial" w:cs="Arial"/>
          <w:sz w:val="24"/>
          <w:szCs w:val="24"/>
          <w:lang w:val="ro-RO"/>
        </w:rPr>
        <w:t>subvențiilor</w:t>
      </w:r>
      <w:r>
        <w:rPr>
          <w:rFonts w:ascii="Arial" w:hAnsi="Arial" w:cs="Arial"/>
          <w:sz w:val="24"/>
          <w:szCs w:val="24"/>
          <w:lang w:val="ro-RO"/>
        </w:rPr>
        <w:t xml:space="preserve"> de la bugetul de stat care se alocă p</w:t>
      </w:r>
      <w:r w:rsidR="00521005">
        <w:rPr>
          <w:rFonts w:ascii="Arial" w:hAnsi="Arial" w:cs="Arial"/>
          <w:sz w:val="24"/>
          <w:szCs w:val="24"/>
          <w:lang w:val="ro-RO"/>
        </w:rPr>
        <w:t>r</w:t>
      </w:r>
      <w:r>
        <w:rPr>
          <w:rFonts w:ascii="Arial" w:hAnsi="Arial" w:cs="Arial"/>
          <w:sz w:val="24"/>
          <w:szCs w:val="24"/>
          <w:lang w:val="ro-RO"/>
        </w:rPr>
        <w:t>in bugetel</w:t>
      </w:r>
      <w:r w:rsidR="00521005">
        <w:rPr>
          <w:rFonts w:ascii="Arial" w:hAnsi="Arial" w:cs="Arial"/>
          <w:sz w:val="24"/>
          <w:szCs w:val="24"/>
          <w:lang w:val="ro-RO"/>
        </w:rPr>
        <w:t>e unor ministere pentru investiț</w:t>
      </w:r>
      <w:r>
        <w:rPr>
          <w:rFonts w:ascii="Arial" w:hAnsi="Arial" w:cs="Arial"/>
          <w:sz w:val="24"/>
          <w:szCs w:val="24"/>
          <w:lang w:val="ro-RO"/>
        </w:rPr>
        <w:t xml:space="preserve">ii (PNDL, spitale, </w:t>
      </w:r>
      <w:r w:rsidR="00516050">
        <w:rPr>
          <w:rFonts w:ascii="Arial" w:hAnsi="Arial" w:cs="Arial"/>
          <w:sz w:val="24"/>
          <w:szCs w:val="24"/>
          <w:lang w:val="ro-RO"/>
        </w:rPr>
        <w:t>școli</w:t>
      </w:r>
      <w:r>
        <w:rPr>
          <w:rFonts w:ascii="Arial" w:hAnsi="Arial" w:cs="Arial"/>
          <w:sz w:val="24"/>
          <w:szCs w:val="24"/>
          <w:lang w:val="ro-RO"/>
        </w:rPr>
        <w:t>, cofinanţate proiecte finanţate din fonduri europene, turism, mediu, etc.) şi asistenţă socială şi din bugetul Fondului Naţional Unic de Asigurări Sociale de Sănătate;</w:t>
      </w:r>
    </w:p>
    <w:p w:rsidR="002E0562" w:rsidRDefault="002E0562" w:rsidP="00B70D07">
      <w:pPr>
        <w:numPr>
          <w:ilvl w:val="0"/>
          <w:numId w:val="32"/>
        </w:numPr>
        <w:jc w:val="both"/>
        <w:rPr>
          <w:rFonts w:ascii="Arial" w:hAnsi="Arial" w:cs="Arial"/>
          <w:sz w:val="24"/>
          <w:szCs w:val="24"/>
          <w:lang w:val="ro-RO"/>
        </w:rPr>
      </w:pPr>
      <w:r>
        <w:rPr>
          <w:rFonts w:ascii="Arial" w:hAnsi="Arial" w:cs="Arial"/>
          <w:sz w:val="24"/>
          <w:szCs w:val="24"/>
          <w:lang w:val="ro-RO"/>
        </w:rPr>
        <w:t>La fundamentarea sumelor alocate bug</w:t>
      </w:r>
      <w:r w:rsidR="00521005">
        <w:rPr>
          <w:rFonts w:ascii="Arial" w:hAnsi="Arial" w:cs="Arial"/>
          <w:sz w:val="24"/>
          <w:szCs w:val="24"/>
          <w:lang w:val="ro-RO"/>
        </w:rPr>
        <w:t>e</w:t>
      </w:r>
      <w:r>
        <w:rPr>
          <w:rFonts w:ascii="Arial" w:hAnsi="Arial" w:cs="Arial"/>
          <w:sz w:val="24"/>
          <w:szCs w:val="24"/>
          <w:lang w:val="ro-RO"/>
        </w:rPr>
        <w:t>telor locale s-a</w:t>
      </w:r>
      <w:r w:rsidR="00521005">
        <w:rPr>
          <w:rFonts w:ascii="Arial" w:hAnsi="Arial" w:cs="Arial"/>
          <w:sz w:val="24"/>
          <w:szCs w:val="24"/>
          <w:lang w:val="ro-RO"/>
        </w:rPr>
        <w:t>u</w:t>
      </w:r>
      <w:r>
        <w:rPr>
          <w:rFonts w:ascii="Arial" w:hAnsi="Arial" w:cs="Arial"/>
          <w:sz w:val="24"/>
          <w:szCs w:val="24"/>
          <w:lang w:val="ro-RO"/>
        </w:rPr>
        <w:t xml:space="preserve"> avut în vedere asigurarea:</w:t>
      </w:r>
    </w:p>
    <w:p w:rsidR="002E0562" w:rsidRDefault="00516050" w:rsidP="00B70D07">
      <w:pPr>
        <w:numPr>
          <w:ilvl w:val="1"/>
          <w:numId w:val="32"/>
        </w:numPr>
        <w:jc w:val="both"/>
        <w:rPr>
          <w:rFonts w:ascii="Arial" w:hAnsi="Arial" w:cs="Arial"/>
          <w:sz w:val="24"/>
          <w:szCs w:val="24"/>
          <w:lang w:val="ro-RO"/>
        </w:rPr>
      </w:pPr>
      <w:r>
        <w:rPr>
          <w:rFonts w:ascii="Arial" w:hAnsi="Arial" w:cs="Arial"/>
          <w:sz w:val="24"/>
          <w:szCs w:val="24"/>
          <w:lang w:val="ro-RO"/>
        </w:rPr>
        <w:t>l</w:t>
      </w:r>
      <w:r w:rsidR="002E0562">
        <w:rPr>
          <w:rFonts w:ascii="Arial" w:hAnsi="Arial" w:cs="Arial"/>
          <w:sz w:val="24"/>
          <w:szCs w:val="24"/>
          <w:lang w:val="ro-RO"/>
        </w:rPr>
        <w:t xml:space="preserve">a Consiliile </w:t>
      </w:r>
      <w:r w:rsidR="00521005">
        <w:rPr>
          <w:rFonts w:ascii="Arial" w:hAnsi="Arial" w:cs="Arial"/>
          <w:sz w:val="24"/>
          <w:szCs w:val="24"/>
          <w:lang w:val="ro-RO"/>
        </w:rPr>
        <w:t xml:space="preserve">Județene </w:t>
      </w:r>
      <w:r w:rsidR="002E0562">
        <w:rPr>
          <w:rFonts w:ascii="Arial" w:hAnsi="Arial" w:cs="Arial"/>
          <w:sz w:val="24"/>
          <w:szCs w:val="24"/>
          <w:lang w:val="ro-RO"/>
        </w:rPr>
        <w:t xml:space="preserve">- minim 400 lei/locuitor la nivelul </w:t>
      </w:r>
      <w:r w:rsidR="00521005">
        <w:rPr>
          <w:rFonts w:ascii="Arial" w:hAnsi="Arial" w:cs="Arial"/>
          <w:sz w:val="24"/>
          <w:szCs w:val="24"/>
          <w:lang w:val="ro-RO"/>
        </w:rPr>
        <w:t>județului</w:t>
      </w:r>
      <w:r w:rsidR="002E0562">
        <w:rPr>
          <w:rFonts w:ascii="Arial" w:hAnsi="Arial" w:cs="Arial"/>
          <w:sz w:val="24"/>
          <w:szCs w:val="24"/>
          <w:lang w:val="ro-RO"/>
        </w:rPr>
        <w:t>, comparativ cu 250 lei</w:t>
      </w:r>
      <w:r w:rsidR="00521005">
        <w:rPr>
          <w:rFonts w:ascii="Arial" w:hAnsi="Arial" w:cs="Arial"/>
          <w:sz w:val="24"/>
          <w:szCs w:val="24"/>
          <w:lang w:val="ro-RO"/>
        </w:rPr>
        <w:t>/locuitor</w:t>
      </w:r>
      <w:r w:rsidR="002E0562">
        <w:rPr>
          <w:rFonts w:ascii="Arial" w:hAnsi="Arial" w:cs="Arial"/>
          <w:sz w:val="24"/>
          <w:szCs w:val="24"/>
          <w:lang w:val="ro-RO"/>
        </w:rPr>
        <w:t xml:space="preserve"> în anul 2018,</w:t>
      </w:r>
    </w:p>
    <w:p w:rsidR="002E0562" w:rsidRDefault="00516050" w:rsidP="00B70D07">
      <w:pPr>
        <w:numPr>
          <w:ilvl w:val="1"/>
          <w:numId w:val="32"/>
        </w:numPr>
        <w:jc w:val="both"/>
        <w:rPr>
          <w:rFonts w:ascii="Arial" w:hAnsi="Arial" w:cs="Arial"/>
          <w:sz w:val="24"/>
          <w:szCs w:val="24"/>
          <w:lang w:val="ro-RO"/>
        </w:rPr>
      </w:pPr>
      <w:r>
        <w:rPr>
          <w:rFonts w:ascii="Arial" w:hAnsi="Arial" w:cs="Arial"/>
          <w:sz w:val="24"/>
          <w:szCs w:val="24"/>
          <w:lang w:val="ro-RO"/>
        </w:rPr>
        <w:t>l</w:t>
      </w:r>
      <w:r w:rsidR="002E0562">
        <w:rPr>
          <w:rFonts w:ascii="Arial" w:hAnsi="Arial" w:cs="Arial"/>
          <w:sz w:val="24"/>
          <w:szCs w:val="24"/>
          <w:lang w:val="ro-RO"/>
        </w:rPr>
        <w:t xml:space="preserve">a municipii (cu </w:t>
      </w:r>
      <w:r w:rsidR="00F816CA">
        <w:rPr>
          <w:rFonts w:ascii="Arial" w:hAnsi="Arial" w:cs="Arial"/>
          <w:sz w:val="24"/>
          <w:szCs w:val="24"/>
          <w:lang w:val="ro-RO"/>
        </w:rPr>
        <w:t>excepția</w:t>
      </w:r>
      <w:r w:rsidR="002E0562">
        <w:rPr>
          <w:rFonts w:ascii="Arial" w:hAnsi="Arial" w:cs="Arial"/>
          <w:sz w:val="24"/>
          <w:szCs w:val="24"/>
          <w:lang w:val="ro-RO"/>
        </w:rPr>
        <w:t xml:space="preserve"> Municipiului Bucureşti), oraşe, comune – 1.200 lei/locuitor, comparativ c</w:t>
      </w:r>
      <w:r w:rsidR="00521005">
        <w:rPr>
          <w:rFonts w:ascii="Arial" w:hAnsi="Arial" w:cs="Arial"/>
          <w:sz w:val="24"/>
          <w:szCs w:val="24"/>
          <w:lang w:val="ro-RO"/>
        </w:rPr>
        <w:t>u 750 lei/locuitor în anul 2018.</w:t>
      </w:r>
      <w:r w:rsidR="002E0562">
        <w:rPr>
          <w:rFonts w:ascii="Arial" w:hAnsi="Arial" w:cs="Arial"/>
          <w:sz w:val="24"/>
          <w:szCs w:val="24"/>
          <w:lang w:val="ro-RO"/>
        </w:rPr>
        <w:t xml:space="preserve"> </w:t>
      </w:r>
      <w:r w:rsidR="00521005">
        <w:rPr>
          <w:rFonts w:ascii="Arial" w:hAnsi="Arial" w:cs="Arial"/>
          <w:sz w:val="24"/>
          <w:szCs w:val="24"/>
          <w:lang w:val="ro-RO"/>
        </w:rPr>
        <w:t xml:space="preserve">De </w:t>
      </w:r>
      <w:r w:rsidR="002E0562">
        <w:rPr>
          <w:rFonts w:ascii="Arial" w:hAnsi="Arial" w:cs="Arial"/>
          <w:sz w:val="24"/>
          <w:szCs w:val="24"/>
          <w:lang w:val="ro-RO"/>
        </w:rPr>
        <w:t>asemenea s-au stabilit plafoane mini</w:t>
      </w:r>
      <w:r w:rsidR="00521005">
        <w:rPr>
          <w:rFonts w:ascii="Arial" w:hAnsi="Arial" w:cs="Arial"/>
          <w:sz w:val="24"/>
          <w:szCs w:val="24"/>
          <w:lang w:val="ro-RO"/>
        </w:rPr>
        <w:t xml:space="preserve">me de 2 milioane lei la comune, față de </w:t>
      </w:r>
      <w:r w:rsidR="002E0562">
        <w:rPr>
          <w:rFonts w:ascii="Arial" w:hAnsi="Arial" w:cs="Arial"/>
          <w:sz w:val="24"/>
          <w:szCs w:val="24"/>
          <w:lang w:val="ro-RO"/>
        </w:rPr>
        <w:t xml:space="preserve">1 milion </w:t>
      </w:r>
      <w:r w:rsidR="00521005">
        <w:rPr>
          <w:rFonts w:ascii="Arial" w:hAnsi="Arial" w:cs="Arial"/>
          <w:sz w:val="24"/>
          <w:szCs w:val="24"/>
          <w:lang w:val="ro-RO"/>
        </w:rPr>
        <w:t>de lei în anul 2018</w:t>
      </w:r>
      <w:r w:rsidR="002E0562">
        <w:rPr>
          <w:rFonts w:ascii="Arial" w:hAnsi="Arial" w:cs="Arial"/>
          <w:sz w:val="24"/>
          <w:szCs w:val="24"/>
          <w:lang w:val="ro-RO"/>
        </w:rPr>
        <w:t xml:space="preserve">, 6 milioane lei la </w:t>
      </w:r>
      <w:r w:rsidR="00521005">
        <w:rPr>
          <w:rFonts w:ascii="Arial" w:hAnsi="Arial" w:cs="Arial"/>
          <w:sz w:val="24"/>
          <w:szCs w:val="24"/>
          <w:lang w:val="ro-RO"/>
        </w:rPr>
        <w:t>orașe, comparativ cu 3 milioane lei în anul 2018 și 20 milioane lei la municipii, de la 5 milioane lei în anul 2018.</w:t>
      </w:r>
    </w:p>
    <w:p w:rsidR="002E0562" w:rsidRDefault="002E0562" w:rsidP="00B70D07">
      <w:pPr>
        <w:numPr>
          <w:ilvl w:val="1"/>
          <w:numId w:val="32"/>
        </w:numPr>
        <w:jc w:val="both"/>
        <w:rPr>
          <w:rFonts w:ascii="Arial" w:hAnsi="Arial" w:cs="Arial"/>
          <w:sz w:val="24"/>
          <w:szCs w:val="24"/>
          <w:lang w:val="ro-RO"/>
        </w:rPr>
      </w:pPr>
      <w:r>
        <w:rPr>
          <w:rFonts w:ascii="Arial" w:hAnsi="Arial" w:cs="Arial"/>
          <w:sz w:val="24"/>
          <w:szCs w:val="24"/>
          <w:lang w:val="ro-RO"/>
        </w:rPr>
        <w:t>La Municipiul Bucureşti - minim 1.450 lei/locuitor;</w:t>
      </w:r>
    </w:p>
    <w:p w:rsidR="002E0562" w:rsidRDefault="002E0562" w:rsidP="00B70D07">
      <w:pPr>
        <w:numPr>
          <w:ilvl w:val="1"/>
          <w:numId w:val="32"/>
        </w:numPr>
        <w:jc w:val="both"/>
        <w:rPr>
          <w:rFonts w:ascii="Arial" w:hAnsi="Arial" w:cs="Arial"/>
          <w:sz w:val="24"/>
          <w:szCs w:val="24"/>
          <w:lang w:val="ro-RO"/>
        </w:rPr>
      </w:pPr>
      <w:r>
        <w:rPr>
          <w:rFonts w:ascii="Arial" w:hAnsi="Arial" w:cs="Arial"/>
          <w:sz w:val="24"/>
          <w:szCs w:val="24"/>
          <w:lang w:val="ro-RO"/>
        </w:rPr>
        <w:t>La Sectoarele Municipiul</w:t>
      </w:r>
      <w:r w:rsidR="005C2227">
        <w:rPr>
          <w:rFonts w:ascii="Arial" w:hAnsi="Arial" w:cs="Arial"/>
          <w:sz w:val="24"/>
          <w:szCs w:val="24"/>
          <w:lang w:val="ro-RO"/>
        </w:rPr>
        <w:t>ui</w:t>
      </w:r>
      <w:r>
        <w:rPr>
          <w:rFonts w:ascii="Arial" w:hAnsi="Arial" w:cs="Arial"/>
          <w:sz w:val="24"/>
          <w:szCs w:val="24"/>
          <w:lang w:val="ro-RO"/>
        </w:rPr>
        <w:t xml:space="preserve"> Bucureşti - minim 1.350 lei/locuitor.</w:t>
      </w:r>
    </w:p>
    <w:p w:rsidR="002E0562" w:rsidRDefault="002E0562" w:rsidP="00D72E28">
      <w:pPr>
        <w:numPr>
          <w:ilvl w:val="1"/>
          <w:numId w:val="32"/>
        </w:numPr>
        <w:jc w:val="both"/>
        <w:rPr>
          <w:rFonts w:ascii="Arial" w:hAnsi="Arial" w:cs="Arial"/>
          <w:sz w:val="24"/>
          <w:szCs w:val="24"/>
          <w:lang w:val="ro-RO"/>
        </w:rPr>
      </w:pPr>
      <w:r>
        <w:rPr>
          <w:rFonts w:ascii="Arial" w:hAnsi="Arial" w:cs="Arial"/>
          <w:sz w:val="24"/>
          <w:szCs w:val="24"/>
          <w:lang w:val="ro-RO"/>
        </w:rPr>
        <w:t>Finanţarea integrală din bugetul local a cheltuielilor de asistenţă socială aferente protecţiei copilului şi persoanelor cu handicap, precum şi contribuţiile pentru personalul neclerical, în sum</w:t>
      </w:r>
      <w:r w:rsidR="00521005">
        <w:rPr>
          <w:rFonts w:ascii="Arial" w:hAnsi="Arial" w:cs="Arial"/>
          <w:sz w:val="24"/>
          <w:szCs w:val="24"/>
          <w:lang w:val="ro-RO"/>
        </w:rPr>
        <w:t>ă</w:t>
      </w:r>
      <w:r>
        <w:rPr>
          <w:rFonts w:ascii="Arial" w:hAnsi="Arial" w:cs="Arial"/>
          <w:sz w:val="24"/>
          <w:szCs w:val="24"/>
          <w:lang w:val="ro-RO"/>
        </w:rPr>
        <w:t xml:space="preserve"> de 6,3 miliarde lei.</w:t>
      </w:r>
    </w:p>
    <w:p w:rsidR="002E0562" w:rsidRDefault="002E0562" w:rsidP="00F4245E">
      <w:pPr>
        <w:jc w:val="both"/>
        <w:rPr>
          <w:rFonts w:ascii="Arial" w:hAnsi="Arial" w:cs="Arial"/>
          <w:sz w:val="24"/>
          <w:szCs w:val="24"/>
          <w:lang w:val="ro-RO"/>
        </w:rPr>
      </w:pPr>
    </w:p>
    <w:p w:rsidR="002E0562" w:rsidRDefault="002E0562" w:rsidP="00F4245E">
      <w:pPr>
        <w:jc w:val="both"/>
        <w:rPr>
          <w:rFonts w:ascii="Arial" w:hAnsi="Arial" w:cs="Arial"/>
          <w:sz w:val="24"/>
          <w:szCs w:val="24"/>
          <w:lang w:val="ro-RO"/>
        </w:rPr>
      </w:pPr>
      <w:r>
        <w:rPr>
          <w:rFonts w:ascii="Arial" w:hAnsi="Arial" w:cs="Arial"/>
          <w:sz w:val="24"/>
          <w:szCs w:val="24"/>
          <w:lang w:val="ro-RO"/>
        </w:rPr>
        <w:t xml:space="preserve">Astfel, totalul sumelor care se alocă din veniturile bugetului de stat şi din subvenţii sunt de </w:t>
      </w:r>
      <w:r w:rsidRPr="00521005">
        <w:rPr>
          <w:rFonts w:ascii="Arial" w:hAnsi="Arial" w:cs="Arial"/>
          <w:b/>
          <w:sz w:val="24"/>
          <w:szCs w:val="24"/>
          <w:lang w:val="ro-RO"/>
        </w:rPr>
        <w:t>46,6 miliarde lei</w:t>
      </w:r>
      <w:r>
        <w:rPr>
          <w:rFonts w:ascii="Arial" w:hAnsi="Arial" w:cs="Arial"/>
          <w:sz w:val="24"/>
          <w:szCs w:val="24"/>
          <w:lang w:val="ro-RO"/>
        </w:rPr>
        <w:t xml:space="preserve">, cu 22,4% mai mari decât cele alocate în anul 2018 </w:t>
      </w:r>
      <w:r w:rsidR="00521005">
        <w:rPr>
          <w:rFonts w:ascii="Arial" w:hAnsi="Arial" w:cs="Arial"/>
          <w:sz w:val="24"/>
          <w:szCs w:val="24"/>
          <w:lang w:val="ro-RO"/>
        </w:rPr>
        <w:t>ceea ce</w:t>
      </w:r>
      <w:r>
        <w:rPr>
          <w:rFonts w:ascii="Arial" w:hAnsi="Arial" w:cs="Arial"/>
          <w:sz w:val="24"/>
          <w:szCs w:val="24"/>
          <w:lang w:val="ro-RO"/>
        </w:rPr>
        <w:t xml:space="preserve">  reprezintă 60,5% din totalul veniturilor bu</w:t>
      </w:r>
      <w:r w:rsidR="002B2275">
        <w:rPr>
          <w:rFonts w:ascii="Arial" w:hAnsi="Arial" w:cs="Arial"/>
          <w:sz w:val="24"/>
          <w:szCs w:val="24"/>
          <w:lang w:val="ro-RO"/>
        </w:rPr>
        <w:t xml:space="preserve">getelor locale. </w:t>
      </w:r>
    </w:p>
    <w:p w:rsidR="002E0562" w:rsidRPr="00AD4510" w:rsidRDefault="002E0562" w:rsidP="003F5B6C">
      <w:pPr>
        <w:jc w:val="both"/>
        <w:rPr>
          <w:rFonts w:ascii="Arial" w:hAnsi="Arial" w:cs="Arial"/>
          <w:sz w:val="24"/>
          <w:szCs w:val="24"/>
          <w:lang w:val="ro-RO"/>
        </w:rPr>
      </w:pPr>
    </w:p>
    <w:p w:rsidR="002E0562" w:rsidRPr="00AD4510" w:rsidRDefault="002E0562" w:rsidP="003F5B6C">
      <w:pPr>
        <w:jc w:val="both"/>
        <w:rPr>
          <w:rFonts w:ascii="Arial" w:hAnsi="Arial" w:cs="Arial"/>
          <w:sz w:val="24"/>
          <w:szCs w:val="24"/>
          <w:lang w:val="ro-RO"/>
        </w:rPr>
      </w:pPr>
    </w:p>
    <w:p w:rsidR="002E0562" w:rsidRPr="00AD4510" w:rsidRDefault="002E0562" w:rsidP="003F5B6C">
      <w:pPr>
        <w:jc w:val="both"/>
        <w:rPr>
          <w:rFonts w:ascii="Arial" w:hAnsi="Arial" w:cs="Arial"/>
          <w:sz w:val="24"/>
          <w:szCs w:val="24"/>
          <w:lang w:val="ro-RO"/>
        </w:rPr>
      </w:pPr>
    </w:p>
    <w:p w:rsidR="002E0562" w:rsidRPr="00AD4510" w:rsidRDefault="002E0562" w:rsidP="003F5B6C">
      <w:pPr>
        <w:jc w:val="both"/>
        <w:rPr>
          <w:rFonts w:ascii="Arial" w:hAnsi="Arial" w:cs="Arial"/>
          <w:sz w:val="24"/>
          <w:szCs w:val="24"/>
          <w:lang w:val="ro-RO"/>
        </w:rPr>
      </w:pPr>
    </w:p>
    <w:p w:rsidR="002E0562" w:rsidRPr="00AD4510" w:rsidRDefault="002E0562" w:rsidP="003F5B6C">
      <w:pPr>
        <w:jc w:val="both"/>
        <w:rPr>
          <w:rFonts w:ascii="Arial" w:hAnsi="Arial" w:cs="Arial"/>
          <w:sz w:val="24"/>
          <w:szCs w:val="24"/>
          <w:lang w:val="ro-RO"/>
        </w:rPr>
      </w:pPr>
    </w:p>
    <w:p w:rsidR="002E0562" w:rsidRPr="00AD4510" w:rsidRDefault="002E0562" w:rsidP="003F5B6C">
      <w:pPr>
        <w:jc w:val="both"/>
        <w:rPr>
          <w:rFonts w:ascii="Arial" w:hAnsi="Arial" w:cs="Arial"/>
          <w:sz w:val="24"/>
          <w:szCs w:val="24"/>
          <w:lang w:val="ro-RO"/>
        </w:rPr>
      </w:pPr>
    </w:p>
    <w:p w:rsidR="002E0562" w:rsidRPr="00AD4510" w:rsidRDefault="002E0562" w:rsidP="003F5B6C">
      <w:pPr>
        <w:jc w:val="both"/>
        <w:rPr>
          <w:rFonts w:ascii="Arial" w:hAnsi="Arial" w:cs="Arial"/>
          <w:sz w:val="24"/>
          <w:szCs w:val="24"/>
          <w:lang w:val="ro-RO"/>
        </w:rPr>
      </w:pPr>
    </w:p>
    <w:p w:rsidR="002E0562" w:rsidRPr="00AD4510" w:rsidRDefault="002E0562" w:rsidP="003F5B6C">
      <w:pPr>
        <w:jc w:val="both"/>
        <w:rPr>
          <w:rFonts w:ascii="Arial" w:hAnsi="Arial" w:cs="Arial"/>
          <w:sz w:val="24"/>
          <w:szCs w:val="24"/>
          <w:lang w:val="ro-RO"/>
        </w:rPr>
      </w:pPr>
    </w:p>
    <w:p w:rsidR="002E0562" w:rsidRDefault="002E0562" w:rsidP="003F5B6C">
      <w:pPr>
        <w:jc w:val="both"/>
        <w:rPr>
          <w:rFonts w:ascii="Arial" w:hAnsi="Arial" w:cs="Arial"/>
          <w:sz w:val="24"/>
          <w:szCs w:val="24"/>
          <w:lang w:val="ro-RO"/>
        </w:rPr>
      </w:pPr>
    </w:p>
    <w:p w:rsidR="00BC47C7" w:rsidRDefault="00BC47C7" w:rsidP="003F5B6C">
      <w:pPr>
        <w:jc w:val="both"/>
        <w:rPr>
          <w:rFonts w:ascii="Arial" w:hAnsi="Arial" w:cs="Arial"/>
          <w:sz w:val="24"/>
          <w:szCs w:val="24"/>
          <w:lang w:val="ro-RO"/>
        </w:rPr>
      </w:pPr>
      <w:bookmarkStart w:id="0" w:name="_GoBack"/>
      <w:bookmarkEnd w:id="0"/>
    </w:p>
    <w:p w:rsidR="00516050" w:rsidRDefault="00516050" w:rsidP="003F5B6C">
      <w:pPr>
        <w:jc w:val="both"/>
        <w:rPr>
          <w:rFonts w:ascii="Arial" w:hAnsi="Arial" w:cs="Arial"/>
          <w:sz w:val="24"/>
          <w:szCs w:val="24"/>
          <w:lang w:val="ro-RO"/>
        </w:rPr>
      </w:pPr>
    </w:p>
    <w:p w:rsidR="00516050" w:rsidRDefault="00516050" w:rsidP="003F5B6C">
      <w:pPr>
        <w:jc w:val="both"/>
        <w:rPr>
          <w:rFonts w:ascii="Arial" w:hAnsi="Arial" w:cs="Arial"/>
          <w:sz w:val="24"/>
          <w:szCs w:val="24"/>
          <w:lang w:val="ro-RO"/>
        </w:rPr>
      </w:pPr>
    </w:p>
    <w:p w:rsidR="00F816CA" w:rsidRPr="00F816CA" w:rsidRDefault="00F816CA" w:rsidP="00F816CA">
      <w:pPr>
        <w:jc w:val="center"/>
        <w:rPr>
          <w:rFonts w:ascii="Arial" w:hAnsi="Arial" w:cs="Arial"/>
          <w:b/>
          <w:color w:val="000000"/>
          <w:sz w:val="24"/>
          <w:szCs w:val="24"/>
          <w:u w:val="single"/>
          <w:shd w:val="clear" w:color="auto" w:fill="FFFFFF"/>
          <w:lang w:val="ro-RO"/>
        </w:rPr>
      </w:pPr>
      <w:r w:rsidRPr="00AD4510">
        <w:rPr>
          <w:rFonts w:ascii="Arial" w:hAnsi="Arial" w:cs="Arial"/>
          <w:b/>
          <w:color w:val="000000"/>
          <w:sz w:val="24"/>
          <w:szCs w:val="24"/>
          <w:u w:val="single"/>
          <w:shd w:val="clear" w:color="auto" w:fill="FFFFFF"/>
          <w:lang w:val="ro-RO"/>
        </w:rPr>
        <w:lastRenderedPageBreak/>
        <w:t>BUGETUL pentru anul 2019 - sumele destinate pentru fiecare instituție</w:t>
      </w:r>
    </w:p>
    <w:p w:rsidR="00F816CA" w:rsidRPr="00AD4510" w:rsidRDefault="00F816CA" w:rsidP="00F816CA">
      <w:pPr>
        <w:jc w:val="right"/>
        <w:rPr>
          <w:rFonts w:ascii="Arial" w:hAnsi="Arial" w:cs="Arial"/>
          <w:b/>
          <w:color w:val="000000"/>
          <w:sz w:val="24"/>
          <w:szCs w:val="24"/>
          <w:shd w:val="clear" w:color="auto" w:fill="FFFFFF"/>
          <w:lang w:val="ro-RO"/>
        </w:rPr>
      </w:pPr>
      <w:r w:rsidRPr="00AD4510">
        <w:rPr>
          <w:rFonts w:ascii="Arial" w:hAnsi="Arial" w:cs="Arial"/>
          <w:b/>
          <w:color w:val="000000"/>
          <w:sz w:val="24"/>
          <w:szCs w:val="24"/>
          <w:shd w:val="clear" w:color="auto" w:fill="FFFFFF"/>
          <w:lang w:val="ro-RO"/>
        </w:rPr>
        <w:tab/>
      </w:r>
      <w:r w:rsidRPr="00AD4510">
        <w:rPr>
          <w:rFonts w:ascii="Arial" w:hAnsi="Arial" w:cs="Arial"/>
          <w:b/>
          <w:color w:val="000000"/>
          <w:sz w:val="24"/>
          <w:szCs w:val="24"/>
          <w:shd w:val="clear" w:color="auto" w:fill="FFFFFF"/>
          <w:lang w:val="ro-RO"/>
        </w:rPr>
        <w:tab/>
      </w:r>
      <w:r w:rsidRPr="00AD4510">
        <w:rPr>
          <w:rFonts w:ascii="Arial" w:hAnsi="Arial" w:cs="Arial"/>
          <w:b/>
          <w:color w:val="000000"/>
          <w:sz w:val="24"/>
          <w:szCs w:val="24"/>
          <w:shd w:val="clear" w:color="auto" w:fill="FFFFFF"/>
          <w:lang w:val="ro-RO"/>
        </w:rPr>
        <w:tab/>
      </w:r>
      <w:r w:rsidRPr="00AD4510">
        <w:rPr>
          <w:rFonts w:ascii="Arial" w:hAnsi="Arial" w:cs="Arial"/>
          <w:b/>
          <w:color w:val="000000"/>
          <w:sz w:val="24"/>
          <w:szCs w:val="24"/>
          <w:shd w:val="clear" w:color="auto" w:fill="FFFFFF"/>
          <w:lang w:val="ro-RO"/>
        </w:rPr>
        <w:tab/>
      </w:r>
      <w:r w:rsidRPr="00AD4510">
        <w:rPr>
          <w:rFonts w:ascii="Arial" w:hAnsi="Arial" w:cs="Arial"/>
          <w:b/>
          <w:color w:val="000000"/>
          <w:sz w:val="24"/>
          <w:szCs w:val="24"/>
          <w:shd w:val="clear" w:color="auto" w:fill="FFFFFF"/>
          <w:lang w:val="ro-RO"/>
        </w:rPr>
        <w:tab/>
        <w:t>- mii lei -</w:t>
      </w:r>
    </w:p>
    <w:tbl>
      <w:tblPr>
        <w:tblW w:w="10723" w:type="dxa"/>
        <w:tblInd w:w="-675" w:type="dxa"/>
        <w:tblLayout w:type="fixed"/>
        <w:tblCellMar>
          <w:left w:w="30" w:type="dxa"/>
          <w:right w:w="30" w:type="dxa"/>
        </w:tblCellMar>
        <w:tblLook w:val="0000" w:firstRow="0" w:lastRow="0" w:firstColumn="0" w:lastColumn="0" w:noHBand="0" w:noVBand="0"/>
      </w:tblPr>
      <w:tblGrid>
        <w:gridCol w:w="5220"/>
        <w:gridCol w:w="504"/>
        <w:gridCol w:w="1387"/>
        <w:gridCol w:w="1325"/>
        <w:gridCol w:w="1104"/>
        <w:gridCol w:w="1183"/>
      </w:tblGrid>
      <w:tr w:rsidR="00F816CA" w:rsidRPr="00AD4510" w:rsidTr="005C2227">
        <w:trPr>
          <w:trHeight w:val="645"/>
        </w:trPr>
        <w:tc>
          <w:tcPr>
            <w:tcW w:w="5220" w:type="dxa"/>
            <w:tcBorders>
              <w:top w:val="single" w:sz="6" w:space="0" w:color="auto"/>
              <w:left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center"/>
              <w:rPr>
                <w:rFonts w:ascii="Arial" w:hAnsi="Arial" w:cs="Arial"/>
                <w:color w:val="000000"/>
                <w:sz w:val="20"/>
                <w:szCs w:val="20"/>
                <w:lang w:val="ro-RO"/>
              </w:rPr>
            </w:pPr>
            <w:r w:rsidRPr="00AD4510">
              <w:rPr>
                <w:rFonts w:ascii="Arial" w:hAnsi="Arial" w:cs="Arial"/>
                <w:color w:val="000000"/>
                <w:sz w:val="20"/>
                <w:szCs w:val="20"/>
                <w:lang w:val="ro-RO"/>
              </w:rPr>
              <w:t>Denumire instituție</w:t>
            </w:r>
          </w:p>
        </w:tc>
        <w:tc>
          <w:tcPr>
            <w:tcW w:w="504" w:type="dxa"/>
            <w:tcBorders>
              <w:top w:val="single" w:sz="6" w:space="0" w:color="auto"/>
              <w:left w:val="single" w:sz="6" w:space="0" w:color="auto"/>
              <w:right w:val="single" w:sz="6" w:space="0" w:color="auto"/>
            </w:tcBorders>
          </w:tcPr>
          <w:p w:rsidR="00F816CA" w:rsidRPr="00AD4510" w:rsidRDefault="00F816CA" w:rsidP="005C2227">
            <w:pPr>
              <w:autoSpaceDE w:val="0"/>
              <w:autoSpaceDN w:val="0"/>
              <w:adjustRightInd w:val="0"/>
              <w:spacing w:after="0" w:line="240" w:lineRule="auto"/>
              <w:rPr>
                <w:rFonts w:ascii="Arial" w:hAnsi="Arial" w:cs="Arial"/>
                <w:color w:val="000000"/>
                <w:sz w:val="18"/>
                <w:szCs w:val="18"/>
                <w:lang w:val="ro-RO"/>
              </w:rPr>
            </w:pPr>
            <w:r w:rsidRPr="00AD4510">
              <w:rPr>
                <w:rFonts w:ascii="Arial" w:hAnsi="Arial" w:cs="Arial"/>
                <w:color w:val="000000"/>
                <w:sz w:val="18"/>
                <w:szCs w:val="18"/>
                <w:lang w:val="ro-RO"/>
              </w:rPr>
              <w:t>COD</w:t>
            </w:r>
          </w:p>
        </w:tc>
        <w:tc>
          <w:tcPr>
            <w:tcW w:w="1387" w:type="dxa"/>
            <w:tcBorders>
              <w:top w:val="single" w:sz="6" w:space="0" w:color="auto"/>
              <w:left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center"/>
              <w:rPr>
                <w:rFonts w:ascii="Arial" w:hAnsi="Arial" w:cs="Arial"/>
                <w:color w:val="000000"/>
                <w:sz w:val="20"/>
                <w:szCs w:val="20"/>
                <w:lang w:val="ro-RO"/>
              </w:rPr>
            </w:pPr>
            <w:r w:rsidRPr="00AD4510">
              <w:rPr>
                <w:rFonts w:ascii="Arial" w:hAnsi="Arial" w:cs="Arial"/>
                <w:color w:val="000000"/>
                <w:sz w:val="20"/>
                <w:szCs w:val="20"/>
                <w:lang w:val="ro-RO"/>
              </w:rPr>
              <w:t>Buget 2018</w:t>
            </w:r>
          </w:p>
          <w:p w:rsidR="00F816CA" w:rsidRPr="00AD4510" w:rsidRDefault="00F816CA" w:rsidP="005C2227">
            <w:pPr>
              <w:autoSpaceDE w:val="0"/>
              <w:autoSpaceDN w:val="0"/>
              <w:adjustRightInd w:val="0"/>
              <w:jc w:val="center"/>
              <w:rPr>
                <w:rFonts w:ascii="Arial" w:hAnsi="Arial" w:cs="Arial"/>
                <w:color w:val="000000"/>
                <w:sz w:val="20"/>
                <w:szCs w:val="20"/>
                <w:lang w:val="ro-RO"/>
              </w:rPr>
            </w:pPr>
            <w:r w:rsidRPr="00AD4510">
              <w:rPr>
                <w:rFonts w:ascii="Arial" w:hAnsi="Arial" w:cs="Arial"/>
                <w:color w:val="000000"/>
                <w:sz w:val="20"/>
                <w:szCs w:val="20"/>
                <w:lang w:val="ro-RO"/>
              </w:rPr>
              <w:t>plăti efectuate</w:t>
            </w:r>
          </w:p>
        </w:tc>
        <w:tc>
          <w:tcPr>
            <w:tcW w:w="1325" w:type="dxa"/>
            <w:tcBorders>
              <w:top w:val="single" w:sz="6" w:space="0" w:color="auto"/>
              <w:left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center"/>
              <w:rPr>
                <w:rFonts w:ascii="Arial" w:hAnsi="Arial" w:cs="Arial"/>
                <w:color w:val="000000"/>
                <w:sz w:val="20"/>
                <w:szCs w:val="20"/>
                <w:lang w:val="ro-RO"/>
              </w:rPr>
            </w:pPr>
            <w:r w:rsidRPr="00AD4510">
              <w:rPr>
                <w:rFonts w:ascii="Arial" w:hAnsi="Arial" w:cs="Arial"/>
                <w:color w:val="000000"/>
                <w:sz w:val="20"/>
                <w:szCs w:val="20"/>
                <w:lang w:val="ro-RO"/>
              </w:rPr>
              <w:t>Proiect buget</w:t>
            </w:r>
          </w:p>
          <w:p w:rsidR="00F816CA" w:rsidRPr="00AD4510" w:rsidRDefault="00F816CA" w:rsidP="005C2227">
            <w:pPr>
              <w:autoSpaceDE w:val="0"/>
              <w:autoSpaceDN w:val="0"/>
              <w:adjustRightInd w:val="0"/>
              <w:jc w:val="center"/>
              <w:rPr>
                <w:rFonts w:ascii="Arial" w:hAnsi="Arial" w:cs="Arial"/>
                <w:color w:val="000000"/>
                <w:sz w:val="20"/>
                <w:szCs w:val="20"/>
                <w:lang w:val="ro-RO"/>
              </w:rPr>
            </w:pPr>
            <w:r w:rsidRPr="00AD4510">
              <w:rPr>
                <w:rFonts w:ascii="Arial" w:hAnsi="Arial" w:cs="Arial"/>
                <w:color w:val="000000"/>
                <w:sz w:val="20"/>
                <w:szCs w:val="20"/>
                <w:lang w:val="ro-RO"/>
              </w:rPr>
              <w:t>2019</w:t>
            </w:r>
          </w:p>
        </w:tc>
        <w:tc>
          <w:tcPr>
            <w:tcW w:w="1104" w:type="dxa"/>
            <w:tcBorders>
              <w:top w:val="single" w:sz="6" w:space="0" w:color="auto"/>
              <w:left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center"/>
              <w:rPr>
                <w:rFonts w:ascii="Arial" w:hAnsi="Arial" w:cs="Arial"/>
                <w:color w:val="000000"/>
                <w:sz w:val="20"/>
                <w:szCs w:val="20"/>
                <w:lang w:val="ro-RO"/>
              </w:rPr>
            </w:pPr>
            <w:r w:rsidRPr="00AD4510">
              <w:rPr>
                <w:rFonts w:ascii="Arial" w:hAnsi="Arial" w:cs="Arial"/>
                <w:color w:val="000000"/>
                <w:sz w:val="20"/>
                <w:szCs w:val="20"/>
                <w:lang w:val="ro-RO"/>
              </w:rPr>
              <w:t>% creștere</w:t>
            </w:r>
          </w:p>
          <w:p w:rsidR="00F816CA" w:rsidRPr="00AD4510" w:rsidRDefault="00F816CA" w:rsidP="005C2227">
            <w:pPr>
              <w:autoSpaceDE w:val="0"/>
              <w:autoSpaceDN w:val="0"/>
              <w:adjustRightInd w:val="0"/>
              <w:jc w:val="center"/>
              <w:rPr>
                <w:rFonts w:ascii="Arial" w:hAnsi="Arial" w:cs="Arial"/>
                <w:color w:val="000000"/>
                <w:sz w:val="20"/>
                <w:szCs w:val="20"/>
                <w:lang w:val="ro-RO"/>
              </w:rPr>
            </w:pPr>
            <w:r w:rsidRPr="00AD4510">
              <w:rPr>
                <w:rFonts w:ascii="Arial" w:hAnsi="Arial" w:cs="Arial"/>
                <w:color w:val="000000"/>
                <w:sz w:val="20"/>
                <w:szCs w:val="20"/>
                <w:lang w:val="ro-RO"/>
              </w:rPr>
              <w:t>2019/2018</w:t>
            </w:r>
          </w:p>
        </w:tc>
        <w:tc>
          <w:tcPr>
            <w:tcW w:w="1183" w:type="dxa"/>
            <w:tcBorders>
              <w:top w:val="single" w:sz="6" w:space="0" w:color="auto"/>
              <w:left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center"/>
              <w:rPr>
                <w:rFonts w:ascii="Arial" w:hAnsi="Arial" w:cs="Arial"/>
                <w:color w:val="000000"/>
                <w:sz w:val="20"/>
                <w:szCs w:val="20"/>
                <w:lang w:val="ro-RO"/>
              </w:rPr>
            </w:pPr>
            <w:r>
              <w:rPr>
                <w:rFonts w:ascii="Arial" w:hAnsi="Arial" w:cs="Arial"/>
                <w:color w:val="000000"/>
                <w:sz w:val="20"/>
                <w:szCs w:val="20"/>
                <w:lang w:val="ro-RO"/>
              </w:rPr>
              <w:t>Influenț</w:t>
            </w:r>
            <w:r w:rsidRPr="00AD4510">
              <w:rPr>
                <w:rFonts w:ascii="Arial" w:hAnsi="Arial" w:cs="Arial"/>
                <w:color w:val="000000"/>
                <w:sz w:val="20"/>
                <w:szCs w:val="20"/>
                <w:lang w:val="ro-RO"/>
              </w:rPr>
              <w:t>e</w:t>
            </w:r>
          </w:p>
          <w:p w:rsidR="00F816CA" w:rsidRPr="00AD4510" w:rsidRDefault="00F816CA" w:rsidP="005C2227">
            <w:pPr>
              <w:autoSpaceDE w:val="0"/>
              <w:autoSpaceDN w:val="0"/>
              <w:adjustRightInd w:val="0"/>
              <w:jc w:val="center"/>
              <w:rPr>
                <w:rFonts w:ascii="Arial" w:hAnsi="Arial" w:cs="Arial"/>
                <w:color w:val="000000"/>
                <w:sz w:val="20"/>
                <w:szCs w:val="20"/>
                <w:lang w:val="ro-RO"/>
              </w:rPr>
            </w:pPr>
            <w:r w:rsidRPr="00AD4510">
              <w:rPr>
                <w:rFonts w:ascii="Arial" w:hAnsi="Arial" w:cs="Arial"/>
                <w:color w:val="000000"/>
                <w:sz w:val="20"/>
                <w:szCs w:val="20"/>
                <w:lang w:val="ro-RO"/>
              </w:rPr>
              <w:t>2019-2018</w:t>
            </w:r>
          </w:p>
        </w:tc>
      </w:tr>
      <w:tr w:rsidR="00F816CA" w:rsidRPr="00AD4510" w:rsidTr="005C2227">
        <w:trPr>
          <w:trHeight w:val="247"/>
        </w:trPr>
        <w:tc>
          <w:tcPr>
            <w:tcW w:w="5220"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right"/>
              <w:rPr>
                <w:rFonts w:ascii="Arial" w:hAnsi="Arial" w:cs="Arial"/>
                <w:color w:val="000000"/>
                <w:sz w:val="20"/>
                <w:szCs w:val="20"/>
                <w:lang w:val="ro-RO"/>
              </w:rPr>
            </w:pPr>
          </w:p>
        </w:tc>
        <w:tc>
          <w:tcPr>
            <w:tcW w:w="504"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right"/>
              <w:rPr>
                <w:rFonts w:ascii="Arial" w:hAnsi="Arial" w:cs="Arial"/>
                <w:color w:val="000000"/>
                <w:sz w:val="18"/>
                <w:szCs w:val="18"/>
                <w:lang w:val="ro-RO"/>
              </w:rPr>
            </w:pPr>
          </w:p>
        </w:tc>
        <w:tc>
          <w:tcPr>
            <w:tcW w:w="1387"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center"/>
              <w:rPr>
                <w:rFonts w:ascii="Arial" w:hAnsi="Arial" w:cs="Arial"/>
                <w:b/>
                <w:bCs/>
                <w:i/>
                <w:iCs/>
                <w:color w:val="000000"/>
                <w:sz w:val="20"/>
                <w:szCs w:val="20"/>
                <w:lang w:val="ro-RO"/>
              </w:rPr>
            </w:pPr>
            <w:r w:rsidRPr="00AD4510">
              <w:rPr>
                <w:rFonts w:ascii="Arial" w:hAnsi="Arial" w:cs="Arial"/>
                <w:b/>
                <w:bCs/>
                <w:i/>
                <w:iCs/>
                <w:color w:val="000000"/>
                <w:sz w:val="20"/>
                <w:szCs w:val="20"/>
                <w:lang w:val="ro-RO"/>
              </w:rPr>
              <w:t>1</w:t>
            </w:r>
          </w:p>
        </w:tc>
        <w:tc>
          <w:tcPr>
            <w:tcW w:w="1325"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center"/>
              <w:rPr>
                <w:rFonts w:ascii="Arial" w:hAnsi="Arial" w:cs="Arial"/>
                <w:b/>
                <w:bCs/>
                <w:i/>
                <w:iCs/>
                <w:color w:val="000000"/>
                <w:sz w:val="20"/>
                <w:szCs w:val="20"/>
                <w:lang w:val="ro-RO"/>
              </w:rPr>
            </w:pPr>
            <w:r w:rsidRPr="00AD4510">
              <w:rPr>
                <w:rFonts w:ascii="Arial" w:hAnsi="Arial" w:cs="Arial"/>
                <w:b/>
                <w:bCs/>
                <w:i/>
                <w:iCs/>
                <w:color w:val="000000"/>
                <w:sz w:val="20"/>
                <w:szCs w:val="20"/>
                <w:lang w:val="ro-RO"/>
              </w:rPr>
              <w:t>2</w:t>
            </w:r>
          </w:p>
        </w:tc>
        <w:tc>
          <w:tcPr>
            <w:tcW w:w="1104"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center"/>
              <w:rPr>
                <w:rFonts w:ascii="Arial" w:hAnsi="Arial" w:cs="Arial"/>
                <w:b/>
                <w:bCs/>
                <w:i/>
                <w:iCs/>
                <w:color w:val="000000"/>
                <w:sz w:val="20"/>
                <w:szCs w:val="20"/>
                <w:lang w:val="ro-RO"/>
              </w:rPr>
            </w:pPr>
            <w:r w:rsidRPr="00AD4510">
              <w:rPr>
                <w:rFonts w:ascii="Arial" w:hAnsi="Arial" w:cs="Arial"/>
                <w:b/>
                <w:bCs/>
                <w:i/>
                <w:iCs/>
                <w:color w:val="000000"/>
                <w:sz w:val="20"/>
                <w:szCs w:val="20"/>
                <w:lang w:val="ro-RO"/>
              </w:rPr>
              <w:t>3=2/1 %</w:t>
            </w:r>
          </w:p>
        </w:tc>
        <w:tc>
          <w:tcPr>
            <w:tcW w:w="1183"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center"/>
              <w:rPr>
                <w:rFonts w:ascii="Arial" w:hAnsi="Arial" w:cs="Arial"/>
                <w:b/>
                <w:bCs/>
                <w:i/>
                <w:iCs/>
                <w:color w:val="000000"/>
                <w:sz w:val="20"/>
                <w:szCs w:val="20"/>
                <w:lang w:val="ro-RO"/>
              </w:rPr>
            </w:pPr>
            <w:r w:rsidRPr="00AD4510">
              <w:rPr>
                <w:rFonts w:ascii="Arial" w:hAnsi="Arial" w:cs="Arial"/>
                <w:b/>
                <w:bCs/>
                <w:i/>
                <w:iCs/>
                <w:color w:val="000000"/>
                <w:sz w:val="20"/>
                <w:szCs w:val="20"/>
                <w:lang w:val="ro-RO"/>
              </w:rPr>
              <w:t>4=2-1</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Pr>
                <w:rFonts w:ascii="Arial" w:hAnsi="Arial" w:cs="Arial"/>
                <w:color w:val="000000"/>
                <w:sz w:val="20"/>
                <w:szCs w:val="20"/>
                <w:lang w:val="ro-RO"/>
              </w:rPr>
              <w:t>MINISTERUL EDUCAȚ</w:t>
            </w:r>
            <w:r w:rsidRPr="004102AA">
              <w:rPr>
                <w:rFonts w:ascii="Arial" w:hAnsi="Arial" w:cs="Arial"/>
                <w:color w:val="000000"/>
                <w:sz w:val="20"/>
                <w:szCs w:val="20"/>
                <w:lang w:val="ro-RO"/>
              </w:rPr>
              <w:t>IEI NAȚIONALE</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25</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21.011.304</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30.829.261</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46,7%</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9.817.957</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MINISTERUL TRANSPORTURILOR</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24</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7.526.055</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11.661.614</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54,9%</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4.135.559</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F816CA">
            <w:pPr>
              <w:autoSpaceDE w:val="0"/>
              <w:autoSpaceDN w:val="0"/>
              <w:adjustRightInd w:val="0"/>
              <w:spacing w:after="0" w:line="240" w:lineRule="auto"/>
              <w:rPr>
                <w:rFonts w:ascii="Arial" w:hAnsi="Arial" w:cs="Arial"/>
                <w:color w:val="000000"/>
                <w:sz w:val="20"/>
                <w:szCs w:val="20"/>
                <w:lang w:val="ro-RO"/>
              </w:rPr>
            </w:pPr>
            <w:r>
              <w:rPr>
                <w:rFonts w:ascii="Arial" w:hAnsi="Arial" w:cs="Arial"/>
                <w:color w:val="000000"/>
                <w:sz w:val="20"/>
                <w:szCs w:val="20"/>
                <w:lang w:val="ro-RO"/>
              </w:rPr>
              <w:t>MINISTERUL SĂNĂTĂȚ</w:t>
            </w:r>
            <w:r w:rsidRPr="004102AA">
              <w:rPr>
                <w:rFonts w:ascii="Arial" w:hAnsi="Arial" w:cs="Arial"/>
                <w:color w:val="000000"/>
                <w:sz w:val="20"/>
                <w:szCs w:val="20"/>
                <w:lang w:val="ro-RO"/>
              </w:rPr>
              <w:t>II</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26</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5.761.983</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9.485.561</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64,6%</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3.723.578</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MINISTERUL AFACERILOR INTERNE</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19</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15.199.489</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18.467.209</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21,5%</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3.267.720</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MINISTERUL AGRICULTURII SI DEZVOLTARII RURALE</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22</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19.801.179</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22.764.073</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15,0%</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2.962.894</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MINISTERUL FONDURILOR  EUROPENE</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54</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802.779</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2.271.885</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183,0%</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1.469.106</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MINISTERUL APARARII NATIONALE</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18</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17.007.300</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18.125.001</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6,6%</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1.117.701</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SECRETARIATUL GENERAL AL GUVERNULUI</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13</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1.351.903</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2.227.539</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64,8%</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875.636</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 xml:space="preserve">MINISTERUL MUNCII SI JUSTITIEI SOCIALE </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20</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25.065.685</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25.589.966</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2,1%</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524.281</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MINISTERUL FINANTELOR PUBLICE</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16</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4.924.596</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5.429.953</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10,3%</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505.357</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MINISTERUL ECONOMIEI</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35</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235.972</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620.356</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162,9%</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384.384</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MINISTERUL CERCETARII SI INOVARII</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61</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1.410.919</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1.791.824</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27,0%</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380.905</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AUTORITATEA ELECTORALA PERMANENTA</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48</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221.087</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582.798</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163,6%</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361.711</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MINISTERUL TINERETULUI SI SPORTULUI</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21</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336.906</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658.046</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95,3%</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321.140</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MINISTERUL JUSTITIEI</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17</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4.002.390</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4.257.131</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6,4%</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254.741</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SERVICIUL DE TELECOMUNICAŢII SPECIALE</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34</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356.517</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604.149</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69,5%</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247.632</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MINISTERUL AFACERILOR EXTERNE</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14</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867.014</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1.102.282</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27,1%</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235.268</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MINISTERUL CULTURII SI IDENTITATII NATIONALE</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27</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740.247</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958.447</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29,5%</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218.200</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MINISTERUL APELOR SI PADURILOR</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62</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405.546</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605.520</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49,3%</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199.974</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 xml:space="preserve">MINISTERUL MEDIULUI </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23</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363.169</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529.600</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45,8%</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166.431</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MINISTERUL DEZVOLTĂRII REGIONALE ŞI ADMINISTRAŢIEI PUBLICE</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15</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5.355.807</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5.523.500</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3,1%</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167.693</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SERVCIUL ROMAN DE INFORMATII</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31</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2.331.995</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2.444.385</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4,8%</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112.390</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CURTEA DE CONTURI</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7</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292.712</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363.765</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24,3%</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71.053</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AUTORITATEA NAŢIONALĂ SANITARĂ VETERINARĂ ŞI PENTRU SIGURANŢA ALIMENTELOR</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38</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824.556</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890.176</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8,0%</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65.620</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INSPECTIA JUDICIARĂ</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57</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0</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53.778</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 </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53.778</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SERVICIUL DE PROTECŢIE ŞI PAZĂ</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33</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193.598</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233.801</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20,8%</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40.203</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CAMERA DEPUTATILOR</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3</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406.643</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446.000</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9,7%</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39.357</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MINISTERUL PUBLIC</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29</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1.246.521</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1.285.784</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3,1%</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39.263</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INSTITUTUL CULTURAL ROMAN</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44</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41.091</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67.546</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64,4%</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26.455</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SERVICIUL DE INFORMATII EXTERNE</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32</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285.330</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309.583</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8,5%</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24.253</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CONSILIUL ECONOMIC SI SOCIAL</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51</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6.744</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29.602</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338,9%</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22.858</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ACADEMIA ROMANA</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37</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312.143</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334.978</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7,3%</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22.835</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CONSILIUL CONCURENTEI</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8</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53.287</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75.830</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42,3%</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22.543</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SOCIETATEA ROMANA DE RADIODIFUZIUNE</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45</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368.711</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387.561</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5,1%</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18.850</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INALTA CURTE DE CASATIE SI JUSTITIE</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4</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132.225</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150.130</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13,5%</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17.905</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SENATUL ROMANIEI</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2</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192.130</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210.000</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9,3%</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17.870</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MINISTERUL TURISMULUI</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59</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36.779</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48.874</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32,9%</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12.095</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CONSILIUL SUPERIOR AL MAGISTRATURII</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47</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148.664</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157.255</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5,8%</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8.591</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CURTEA CONSTITUTIONALA</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5</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23.049</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30.140</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30,8%</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7.091</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AUTORITATEA NATIONALA PENTRU RESTITUIREA PROPRIETATILOR</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55</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14.581</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21.591</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48,1%</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7.010</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lastRenderedPageBreak/>
              <w:t>SOCIETATEA ROMANA DE TELEVIZIUNE</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46</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403.275</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410.000</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1,7%</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6.725</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AVOCATUL POPORULUI</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9</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17.878</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23.532</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31,6%</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5.654</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AUTORITATEA  PENTRU  ADMINISTRAREA  ACTIVELOR STATULUI</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53</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16.876</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21.661</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28,4%</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4.785</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MINISTERUL PENTRU ROMANII DE PRETUTINDENI</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64</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24.727</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28.885</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16,8%</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4.158</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AGENTIA NATIONALA DE INTEGRITATE</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30</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19.507</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22.554</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15,6%</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3.047</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CONSILIUL DE MONITORIZARE SI IMPLEMENTARE A CONVENTIEI</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58</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2.127</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4.488</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111,0%</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2.361</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ADMINISTRATIA PREZIDENTIALA</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1</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53.249</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55.421</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4,1%</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2.172</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AGENŢIA NAŢIONALĂ DE PRESĂ AGERPRES</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43</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19.893</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22.003</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10,6%</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2.110</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MINISTERUL PENTRU RELATIA CU PARLAMENTUL</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63</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7.343</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9.382</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27,8%</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2.039</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CONSILIUL NATIONAL AL AUDIOVIZUALULUI</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11</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10.889</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12.867</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18,2%</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1.978</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OFICIUL NATIONAL DE PREVENIRE SI COMBATERE A SPALARII BANILOR</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40</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14.421</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16.139</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11,9%</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1.718</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CONSILIUL NAŢIONAL PENTRU COMBATEREA DISCRIMINĂRII</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42</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6.439</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7.884</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22,4%</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1.445</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CONSILIUL NAŢIONAL PENTRU STUDIEREA ARHIVELOR SECURITĂŢII</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10</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17.035</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18.277</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7,3%</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1.242</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CONSILIUL LEGISLATIV</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6</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9.890</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11.123</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12,5%</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1.233</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OFICIUL REGISTRULUI NATIONAL AL INFORMATIILOR SECRETE DE STAT</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41</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9.937</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11.160</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12,3%</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1.223</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AUTORITATEA NATIONALA DE SUPRAVEGHERE A PRELUCRARII DATELOR CU CARACTER PERSONAL</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50</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4.602</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5.820</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26,5%</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1.218</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CONSILIUL NATIONAL DE SOLUTIONARE A CONTESTATIILOR</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52</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11.704</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12.722</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8,7%</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1.018</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ACADEMIA OAMENILOR DE STIINTA DIN ROMANIA</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56</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10.145</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10.659</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5,1%</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514</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SECRETARIATUL DE STAT PENTRU RECUNOASTEREA MERITELOR LUPTATORILOR IMPOTRIVA REGIMULUI COMUNIST INSTAURAT IN ROMANIA IN PERIOADA 1945-1989</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39</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2.863</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3.335</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16,5%</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472</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MINISTERUL ENERGIEI</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36</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287.375</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250.024</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-13,0%</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-37.351</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MINISTERUL COMUNICAȚIILOR ȘI PENTRU  SOCIETATEA INFORMAŢIONALĂ</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28</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327.497</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261.472</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-20,2%</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-66.025</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MINISTERUL PENTRU MEDIUL DE AFACERI, COMERT SI ANTREPRENORIAT</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60</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917.648</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652.161</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-28,9%</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-265.487</w:t>
            </w:r>
          </w:p>
        </w:tc>
      </w:tr>
      <w:tr w:rsidR="00F816CA" w:rsidRPr="004102AA"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color w:val="000000"/>
                <w:sz w:val="20"/>
                <w:szCs w:val="20"/>
                <w:lang w:val="ro-RO"/>
              </w:rPr>
            </w:pPr>
            <w:r w:rsidRPr="004102AA">
              <w:rPr>
                <w:rFonts w:ascii="Arial" w:hAnsi="Arial" w:cs="Arial"/>
                <w:color w:val="000000"/>
                <w:sz w:val="20"/>
                <w:szCs w:val="20"/>
                <w:lang w:val="ro-RO"/>
              </w:rPr>
              <w:t>MINISTERUL FINANTELOR PUBLICE-ACTIUNI GENERALE</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color w:val="000000"/>
                <w:sz w:val="18"/>
                <w:szCs w:val="18"/>
                <w:lang w:val="ro-RO"/>
              </w:rPr>
            </w:pPr>
            <w:r w:rsidRPr="004102AA">
              <w:rPr>
                <w:rFonts w:ascii="Arial" w:hAnsi="Arial" w:cs="Arial"/>
                <w:color w:val="000000"/>
                <w:sz w:val="18"/>
                <w:szCs w:val="18"/>
                <w:lang w:val="ro-RO"/>
              </w:rPr>
              <w:t>65</w:t>
            </w: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26.442.714</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26.086.646</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-1,3%</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Cs/>
                <w:iCs/>
                <w:color w:val="000000"/>
                <w:sz w:val="20"/>
                <w:szCs w:val="20"/>
                <w:lang w:val="ro-RO"/>
              </w:rPr>
            </w:pPr>
            <w:r w:rsidRPr="004102AA">
              <w:rPr>
                <w:rFonts w:ascii="Arial" w:hAnsi="Arial" w:cs="Arial"/>
                <w:bCs/>
                <w:iCs/>
                <w:color w:val="000000"/>
                <w:sz w:val="20"/>
                <w:szCs w:val="20"/>
                <w:lang w:val="ro-RO"/>
              </w:rPr>
              <w:t>-356.068</w:t>
            </w:r>
          </w:p>
        </w:tc>
      </w:tr>
      <w:tr w:rsidR="00F816CA" w:rsidRPr="00AD4510" w:rsidTr="005C2227">
        <w:trPr>
          <w:trHeight w:val="247"/>
        </w:trPr>
        <w:tc>
          <w:tcPr>
            <w:tcW w:w="5220"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rPr>
                <w:rFonts w:ascii="Arial" w:hAnsi="Arial" w:cs="Arial"/>
                <w:b/>
                <w:color w:val="000000"/>
                <w:sz w:val="20"/>
                <w:szCs w:val="20"/>
                <w:lang w:val="ro-RO"/>
              </w:rPr>
            </w:pPr>
            <w:r w:rsidRPr="004102AA">
              <w:rPr>
                <w:rFonts w:ascii="Arial" w:hAnsi="Arial" w:cs="Arial"/>
                <w:b/>
                <w:color w:val="000000"/>
                <w:sz w:val="20"/>
                <w:szCs w:val="20"/>
                <w:lang w:val="ro-RO"/>
              </w:rPr>
              <w:t xml:space="preserve">BUGET DE STAT - TOTAL </w:t>
            </w:r>
          </w:p>
        </w:tc>
        <w:tc>
          <w:tcPr>
            <w:tcW w:w="5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
                <w:color w:val="000000"/>
                <w:sz w:val="18"/>
                <w:szCs w:val="18"/>
                <w:lang w:val="ro-RO"/>
              </w:rPr>
            </w:pPr>
          </w:p>
        </w:tc>
        <w:tc>
          <w:tcPr>
            <w:tcW w:w="1387"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
                <w:bCs/>
                <w:iCs/>
                <w:color w:val="000000"/>
                <w:sz w:val="20"/>
                <w:szCs w:val="20"/>
                <w:lang w:val="ro-RO"/>
              </w:rPr>
            </w:pPr>
            <w:r w:rsidRPr="004102AA">
              <w:rPr>
                <w:rFonts w:ascii="Arial" w:hAnsi="Arial" w:cs="Arial"/>
                <w:b/>
                <w:bCs/>
                <w:iCs/>
                <w:color w:val="000000"/>
                <w:sz w:val="20"/>
                <w:szCs w:val="20"/>
                <w:lang w:val="ro-RO"/>
              </w:rPr>
              <w:t>168.296.640</w:t>
            </w:r>
          </w:p>
        </w:tc>
        <w:tc>
          <w:tcPr>
            <w:tcW w:w="1325"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
                <w:bCs/>
                <w:iCs/>
                <w:color w:val="000000"/>
                <w:sz w:val="20"/>
                <w:szCs w:val="20"/>
                <w:lang w:val="ro-RO"/>
              </w:rPr>
            </w:pPr>
            <w:r w:rsidRPr="004102AA">
              <w:rPr>
                <w:rFonts w:ascii="Arial" w:hAnsi="Arial" w:cs="Arial"/>
                <w:b/>
                <w:bCs/>
                <w:iCs/>
                <w:color w:val="000000"/>
                <w:sz w:val="20"/>
                <w:szCs w:val="20"/>
                <w:lang w:val="ro-RO"/>
              </w:rPr>
              <w:t>199.584.709</w:t>
            </w:r>
          </w:p>
        </w:tc>
        <w:tc>
          <w:tcPr>
            <w:tcW w:w="1104"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
                <w:bCs/>
                <w:iCs/>
                <w:color w:val="000000"/>
                <w:sz w:val="20"/>
                <w:szCs w:val="20"/>
                <w:lang w:val="ro-RO"/>
              </w:rPr>
            </w:pPr>
            <w:r w:rsidRPr="004102AA">
              <w:rPr>
                <w:rFonts w:ascii="Arial" w:hAnsi="Arial" w:cs="Arial"/>
                <w:b/>
                <w:bCs/>
                <w:iCs/>
                <w:color w:val="000000"/>
                <w:sz w:val="20"/>
                <w:szCs w:val="20"/>
                <w:lang w:val="ro-RO"/>
              </w:rPr>
              <w:t>18,6%</w:t>
            </w:r>
          </w:p>
        </w:tc>
        <w:tc>
          <w:tcPr>
            <w:tcW w:w="1183" w:type="dxa"/>
            <w:tcBorders>
              <w:top w:val="single" w:sz="6" w:space="0" w:color="auto"/>
              <w:left w:val="single" w:sz="6" w:space="0" w:color="auto"/>
              <w:bottom w:val="single" w:sz="6" w:space="0" w:color="auto"/>
              <w:right w:val="single" w:sz="6" w:space="0" w:color="auto"/>
            </w:tcBorders>
            <w:shd w:val="clear" w:color="auto" w:fill="auto"/>
          </w:tcPr>
          <w:p w:rsidR="00F816CA" w:rsidRPr="004102AA" w:rsidRDefault="00F816CA" w:rsidP="005C2227">
            <w:pPr>
              <w:autoSpaceDE w:val="0"/>
              <w:autoSpaceDN w:val="0"/>
              <w:adjustRightInd w:val="0"/>
              <w:spacing w:after="0" w:line="240" w:lineRule="auto"/>
              <w:jc w:val="right"/>
              <w:rPr>
                <w:rFonts w:ascii="Arial" w:hAnsi="Arial" w:cs="Arial"/>
                <w:b/>
                <w:bCs/>
                <w:iCs/>
                <w:color w:val="000000"/>
                <w:sz w:val="20"/>
                <w:szCs w:val="20"/>
                <w:lang w:val="ro-RO"/>
              </w:rPr>
            </w:pPr>
            <w:r w:rsidRPr="004102AA">
              <w:rPr>
                <w:rFonts w:ascii="Arial" w:hAnsi="Arial" w:cs="Arial"/>
                <w:b/>
                <w:bCs/>
                <w:iCs/>
                <w:color w:val="000000"/>
                <w:sz w:val="20"/>
                <w:szCs w:val="20"/>
                <w:lang w:val="ro-RO"/>
              </w:rPr>
              <w:t>31.288.069</w:t>
            </w:r>
          </w:p>
        </w:tc>
      </w:tr>
      <w:tr w:rsidR="00F816CA" w:rsidRPr="00AD4510" w:rsidTr="005C2227">
        <w:trPr>
          <w:trHeight w:val="494"/>
        </w:trPr>
        <w:tc>
          <w:tcPr>
            <w:tcW w:w="10723" w:type="dxa"/>
            <w:gridSpan w:val="6"/>
            <w:tcBorders>
              <w:top w:val="single" w:sz="6" w:space="0" w:color="auto"/>
              <w:left w:val="single" w:sz="2" w:space="0" w:color="000000"/>
              <w:bottom w:val="single" w:sz="6" w:space="0" w:color="auto"/>
              <w:right w:val="single" w:sz="2" w:space="0" w:color="000000"/>
            </w:tcBorders>
          </w:tcPr>
          <w:p w:rsidR="00F816CA" w:rsidRPr="00AD4510" w:rsidRDefault="00F816CA" w:rsidP="005C2227">
            <w:pPr>
              <w:autoSpaceDE w:val="0"/>
              <w:autoSpaceDN w:val="0"/>
              <w:adjustRightInd w:val="0"/>
              <w:spacing w:after="0" w:line="240" w:lineRule="auto"/>
              <w:rPr>
                <w:rFonts w:ascii="Arial" w:hAnsi="Arial" w:cs="Arial"/>
                <w:i/>
                <w:iCs/>
                <w:color w:val="000000"/>
                <w:sz w:val="18"/>
                <w:szCs w:val="18"/>
                <w:lang w:val="ro-RO"/>
              </w:rPr>
            </w:pPr>
            <w:r w:rsidRPr="00AD4510">
              <w:rPr>
                <w:rFonts w:ascii="Arial" w:hAnsi="Arial" w:cs="Arial"/>
                <w:i/>
                <w:iCs/>
                <w:color w:val="000000"/>
                <w:sz w:val="18"/>
                <w:szCs w:val="18"/>
                <w:lang w:val="ro-RO"/>
              </w:rPr>
              <w:t xml:space="preserve">   </w:t>
            </w:r>
            <w:r w:rsidRPr="00AD4510">
              <w:rPr>
                <w:rFonts w:ascii="Arial" w:hAnsi="Arial" w:cs="Arial"/>
                <w:b/>
                <w:bCs/>
                <w:i/>
                <w:iCs/>
                <w:color w:val="000000"/>
                <w:sz w:val="18"/>
                <w:szCs w:val="18"/>
                <w:lang w:val="ro-RO"/>
              </w:rPr>
              <w:t xml:space="preserve">*) </w:t>
            </w:r>
            <w:r w:rsidRPr="00AD4510">
              <w:rPr>
                <w:rFonts w:ascii="Arial" w:hAnsi="Arial" w:cs="Arial"/>
                <w:i/>
                <w:iCs/>
                <w:color w:val="000000"/>
                <w:sz w:val="18"/>
                <w:szCs w:val="18"/>
                <w:lang w:val="ro-RO"/>
              </w:rPr>
              <w:t>Exclusiv subvenția de echilibrare care se aloca bugetului de asigurări sociale de stat si respectiv bugetului Fondului National Unic de Asigurări Sociale de Sănătate.</w:t>
            </w:r>
          </w:p>
        </w:tc>
      </w:tr>
      <w:tr w:rsidR="00F816CA" w:rsidRPr="00AD4510" w:rsidTr="005C2227">
        <w:trPr>
          <w:trHeight w:val="247"/>
        </w:trPr>
        <w:tc>
          <w:tcPr>
            <w:tcW w:w="5220"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rPr>
                <w:rFonts w:ascii="Arial" w:hAnsi="Arial" w:cs="Arial"/>
                <w:color w:val="000000"/>
                <w:sz w:val="20"/>
                <w:szCs w:val="20"/>
                <w:lang w:val="ro-RO"/>
              </w:rPr>
            </w:pPr>
            <w:r>
              <w:rPr>
                <w:rFonts w:ascii="Arial" w:hAnsi="Arial" w:cs="Arial"/>
                <w:color w:val="000000"/>
                <w:sz w:val="20"/>
                <w:szCs w:val="20"/>
                <w:lang w:val="ro-RO"/>
              </w:rPr>
              <w:t>BUGETUL ASIGURĂ</w:t>
            </w:r>
            <w:r w:rsidRPr="00AD4510">
              <w:rPr>
                <w:rFonts w:ascii="Arial" w:hAnsi="Arial" w:cs="Arial"/>
                <w:color w:val="000000"/>
                <w:sz w:val="20"/>
                <w:szCs w:val="20"/>
                <w:lang w:val="ro-RO"/>
              </w:rPr>
              <w:t xml:space="preserve">RILOR SOCIALE DE STAT  </w:t>
            </w:r>
          </w:p>
        </w:tc>
        <w:tc>
          <w:tcPr>
            <w:tcW w:w="504"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right"/>
              <w:rPr>
                <w:rFonts w:ascii="Arial" w:hAnsi="Arial" w:cs="Arial"/>
                <w:color w:val="000000"/>
                <w:sz w:val="18"/>
                <w:szCs w:val="18"/>
                <w:lang w:val="ro-RO"/>
              </w:rPr>
            </w:pPr>
          </w:p>
        </w:tc>
        <w:tc>
          <w:tcPr>
            <w:tcW w:w="1387"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right"/>
              <w:rPr>
                <w:rFonts w:ascii="Arial" w:hAnsi="Arial" w:cs="Arial"/>
                <w:color w:val="000000"/>
                <w:sz w:val="20"/>
                <w:szCs w:val="20"/>
                <w:lang w:val="ro-RO"/>
              </w:rPr>
            </w:pPr>
            <w:r w:rsidRPr="00AD4510">
              <w:rPr>
                <w:rFonts w:ascii="Arial" w:hAnsi="Arial" w:cs="Arial"/>
                <w:color w:val="000000"/>
                <w:sz w:val="20"/>
                <w:szCs w:val="20"/>
                <w:lang w:val="ro-RO"/>
              </w:rPr>
              <w:t>63.557.309</w:t>
            </w:r>
          </w:p>
        </w:tc>
        <w:tc>
          <w:tcPr>
            <w:tcW w:w="1325"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right"/>
              <w:rPr>
                <w:rFonts w:ascii="Arial" w:hAnsi="Arial" w:cs="Arial"/>
                <w:color w:val="000000"/>
                <w:sz w:val="20"/>
                <w:szCs w:val="20"/>
                <w:lang w:val="ro-RO"/>
              </w:rPr>
            </w:pPr>
            <w:r w:rsidRPr="00AD4510">
              <w:rPr>
                <w:rFonts w:ascii="Arial" w:hAnsi="Arial" w:cs="Arial"/>
                <w:color w:val="000000"/>
                <w:sz w:val="20"/>
                <w:szCs w:val="20"/>
                <w:lang w:val="ro-RO"/>
              </w:rPr>
              <w:t>70.092.298</w:t>
            </w:r>
          </w:p>
        </w:tc>
        <w:tc>
          <w:tcPr>
            <w:tcW w:w="1104"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right"/>
              <w:rPr>
                <w:rFonts w:ascii="Arial" w:hAnsi="Arial" w:cs="Arial"/>
                <w:color w:val="000000"/>
                <w:sz w:val="20"/>
                <w:szCs w:val="20"/>
                <w:lang w:val="ro-RO"/>
              </w:rPr>
            </w:pPr>
            <w:r w:rsidRPr="00AD4510">
              <w:rPr>
                <w:rFonts w:ascii="Arial" w:hAnsi="Arial" w:cs="Arial"/>
                <w:color w:val="000000"/>
                <w:sz w:val="20"/>
                <w:szCs w:val="20"/>
                <w:lang w:val="ro-RO"/>
              </w:rPr>
              <w:t>10,3%</w:t>
            </w:r>
          </w:p>
        </w:tc>
        <w:tc>
          <w:tcPr>
            <w:tcW w:w="1183"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right"/>
              <w:rPr>
                <w:rFonts w:ascii="Arial" w:hAnsi="Arial" w:cs="Arial"/>
                <w:color w:val="000000"/>
                <w:sz w:val="20"/>
                <w:szCs w:val="20"/>
                <w:lang w:val="ro-RO"/>
              </w:rPr>
            </w:pPr>
            <w:r w:rsidRPr="00AD4510">
              <w:rPr>
                <w:rFonts w:ascii="Arial" w:hAnsi="Arial" w:cs="Arial"/>
                <w:color w:val="000000"/>
                <w:sz w:val="20"/>
                <w:szCs w:val="20"/>
                <w:lang w:val="ro-RO"/>
              </w:rPr>
              <w:t>6.534.989</w:t>
            </w:r>
          </w:p>
        </w:tc>
      </w:tr>
      <w:tr w:rsidR="00F816CA" w:rsidRPr="00AD4510" w:rsidTr="005C2227">
        <w:trPr>
          <w:trHeight w:val="247"/>
        </w:trPr>
        <w:tc>
          <w:tcPr>
            <w:tcW w:w="5220"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rPr>
                <w:rFonts w:ascii="Arial" w:hAnsi="Arial" w:cs="Arial"/>
                <w:color w:val="000000"/>
                <w:sz w:val="20"/>
                <w:szCs w:val="20"/>
                <w:lang w:val="ro-RO"/>
              </w:rPr>
            </w:pPr>
            <w:r>
              <w:rPr>
                <w:rFonts w:ascii="Arial" w:hAnsi="Arial" w:cs="Arial"/>
                <w:color w:val="000000"/>
                <w:sz w:val="20"/>
                <w:szCs w:val="20"/>
                <w:lang w:val="ro-RO"/>
              </w:rPr>
              <w:t>BUGETUL ASIGURĂRILOR PENTRU Ș</w:t>
            </w:r>
            <w:r w:rsidRPr="00AD4510">
              <w:rPr>
                <w:rFonts w:ascii="Arial" w:hAnsi="Arial" w:cs="Arial"/>
                <w:color w:val="000000"/>
                <w:sz w:val="20"/>
                <w:szCs w:val="20"/>
                <w:lang w:val="ro-RO"/>
              </w:rPr>
              <w:t>OMAJ</w:t>
            </w:r>
          </w:p>
        </w:tc>
        <w:tc>
          <w:tcPr>
            <w:tcW w:w="504"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right"/>
              <w:rPr>
                <w:rFonts w:ascii="Arial" w:hAnsi="Arial" w:cs="Arial"/>
                <w:color w:val="000000"/>
                <w:sz w:val="18"/>
                <w:szCs w:val="18"/>
                <w:lang w:val="ro-RO"/>
              </w:rPr>
            </w:pPr>
          </w:p>
        </w:tc>
        <w:tc>
          <w:tcPr>
            <w:tcW w:w="1387"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right"/>
              <w:rPr>
                <w:rFonts w:ascii="Arial" w:hAnsi="Arial" w:cs="Arial"/>
                <w:color w:val="000000"/>
                <w:sz w:val="20"/>
                <w:szCs w:val="20"/>
                <w:lang w:val="ro-RO"/>
              </w:rPr>
            </w:pPr>
            <w:r w:rsidRPr="00AD4510">
              <w:rPr>
                <w:rFonts w:ascii="Arial" w:hAnsi="Arial" w:cs="Arial"/>
                <w:color w:val="000000"/>
                <w:sz w:val="20"/>
                <w:szCs w:val="20"/>
                <w:lang w:val="ro-RO"/>
              </w:rPr>
              <w:t>951.267</w:t>
            </w:r>
          </w:p>
        </w:tc>
        <w:tc>
          <w:tcPr>
            <w:tcW w:w="1325"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right"/>
              <w:rPr>
                <w:rFonts w:ascii="Arial" w:hAnsi="Arial" w:cs="Arial"/>
                <w:color w:val="000000"/>
                <w:sz w:val="20"/>
                <w:szCs w:val="20"/>
                <w:lang w:val="ro-RO"/>
              </w:rPr>
            </w:pPr>
            <w:r w:rsidRPr="00AD4510">
              <w:rPr>
                <w:rFonts w:ascii="Arial" w:hAnsi="Arial" w:cs="Arial"/>
                <w:color w:val="000000"/>
                <w:sz w:val="20"/>
                <w:szCs w:val="20"/>
                <w:lang w:val="ro-RO"/>
              </w:rPr>
              <w:t>1.148.637</w:t>
            </w:r>
          </w:p>
        </w:tc>
        <w:tc>
          <w:tcPr>
            <w:tcW w:w="1104"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right"/>
              <w:rPr>
                <w:rFonts w:ascii="Arial" w:hAnsi="Arial" w:cs="Arial"/>
                <w:color w:val="000000"/>
                <w:sz w:val="20"/>
                <w:szCs w:val="20"/>
                <w:lang w:val="ro-RO"/>
              </w:rPr>
            </w:pPr>
            <w:r w:rsidRPr="00AD4510">
              <w:rPr>
                <w:rFonts w:ascii="Arial" w:hAnsi="Arial" w:cs="Arial"/>
                <w:color w:val="000000"/>
                <w:sz w:val="20"/>
                <w:szCs w:val="20"/>
                <w:lang w:val="ro-RO"/>
              </w:rPr>
              <w:t>20,7%</w:t>
            </w:r>
          </w:p>
        </w:tc>
        <w:tc>
          <w:tcPr>
            <w:tcW w:w="1183"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right"/>
              <w:rPr>
                <w:rFonts w:ascii="Arial" w:hAnsi="Arial" w:cs="Arial"/>
                <w:color w:val="000000"/>
                <w:sz w:val="20"/>
                <w:szCs w:val="20"/>
                <w:lang w:val="ro-RO"/>
              </w:rPr>
            </w:pPr>
            <w:r w:rsidRPr="00AD4510">
              <w:rPr>
                <w:rFonts w:ascii="Arial" w:hAnsi="Arial" w:cs="Arial"/>
                <w:color w:val="000000"/>
                <w:sz w:val="20"/>
                <w:szCs w:val="20"/>
                <w:lang w:val="ro-RO"/>
              </w:rPr>
              <w:t>197.370</w:t>
            </w:r>
          </w:p>
        </w:tc>
      </w:tr>
      <w:tr w:rsidR="00F816CA" w:rsidRPr="00AD4510" w:rsidTr="005C2227">
        <w:trPr>
          <w:trHeight w:val="161"/>
        </w:trPr>
        <w:tc>
          <w:tcPr>
            <w:tcW w:w="5724" w:type="dxa"/>
            <w:gridSpan w:val="2"/>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rPr>
                <w:rFonts w:ascii="Arial" w:hAnsi="Arial" w:cs="Arial"/>
                <w:color w:val="000000"/>
                <w:sz w:val="18"/>
                <w:szCs w:val="18"/>
                <w:lang w:val="ro-RO"/>
              </w:rPr>
            </w:pPr>
            <w:r>
              <w:rPr>
                <w:rFonts w:ascii="Arial" w:hAnsi="Arial" w:cs="Arial"/>
                <w:color w:val="000000"/>
                <w:sz w:val="18"/>
                <w:szCs w:val="18"/>
                <w:lang w:val="ro-RO"/>
              </w:rPr>
              <w:t>FONDUL NAȚIONAL UNIC DE ASIGURĂ</w:t>
            </w:r>
            <w:r w:rsidRPr="00AD4510">
              <w:rPr>
                <w:rFonts w:ascii="Arial" w:hAnsi="Arial" w:cs="Arial"/>
                <w:color w:val="000000"/>
                <w:sz w:val="18"/>
                <w:szCs w:val="18"/>
                <w:lang w:val="ro-RO"/>
              </w:rPr>
              <w:t xml:space="preserve">RI SOCIALE DE </w:t>
            </w:r>
            <w:r>
              <w:rPr>
                <w:rFonts w:ascii="Arial" w:hAnsi="Arial" w:cs="Arial"/>
                <w:color w:val="000000"/>
                <w:sz w:val="18"/>
                <w:szCs w:val="18"/>
                <w:lang w:val="ro-RO"/>
              </w:rPr>
              <w:t>SĂNĂTA</w:t>
            </w:r>
            <w:r w:rsidRPr="00AD4510">
              <w:rPr>
                <w:rFonts w:ascii="Arial" w:hAnsi="Arial" w:cs="Arial"/>
                <w:color w:val="000000"/>
                <w:sz w:val="18"/>
                <w:szCs w:val="18"/>
                <w:lang w:val="ro-RO"/>
              </w:rPr>
              <w:t>TE</w:t>
            </w:r>
          </w:p>
        </w:tc>
        <w:tc>
          <w:tcPr>
            <w:tcW w:w="1387"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right"/>
              <w:rPr>
                <w:rFonts w:ascii="Arial" w:hAnsi="Arial" w:cs="Arial"/>
                <w:color w:val="000000"/>
                <w:sz w:val="20"/>
                <w:szCs w:val="20"/>
                <w:lang w:val="ro-RO"/>
              </w:rPr>
            </w:pPr>
            <w:r w:rsidRPr="00AD4510">
              <w:rPr>
                <w:rFonts w:ascii="Arial" w:hAnsi="Arial" w:cs="Arial"/>
                <w:color w:val="000000"/>
                <w:sz w:val="20"/>
                <w:szCs w:val="20"/>
                <w:lang w:val="ro-RO"/>
              </w:rPr>
              <w:t>34.713.034</w:t>
            </w:r>
          </w:p>
        </w:tc>
        <w:tc>
          <w:tcPr>
            <w:tcW w:w="1325"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right"/>
              <w:rPr>
                <w:rFonts w:ascii="Arial" w:hAnsi="Arial" w:cs="Arial"/>
                <w:color w:val="000000"/>
                <w:sz w:val="20"/>
                <w:szCs w:val="20"/>
                <w:lang w:val="ro-RO"/>
              </w:rPr>
            </w:pPr>
            <w:r w:rsidRPr="00AD4510">
              <w:rPr>
                <w:rFonts w:ascii="Arial" w:hAnsi="Arial" w:cs="Arial"/>
                <w:color w:val="000000"/>
                <w:sz w:val="20"/>
                <w:szCs w:val="20"/>
                <w:lang w:val="ro-RO"/>
              </w:rPr>
              <w:t>37.837.002</w:t>
            </w:r>
          </w:p>
        </w:tc>
        <w:tc>
          <w:tcPr>
            <w:tcW w:w="1104"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right"/>
              <w:rPr>
                <w:rFonts w:ascii="Arial" w:hAnsi="Arial" w:cs="Arial"/>
                <w:color w:val="000000"/>
                <w:sz w:val="20"/>
                <w:szCs w:val="20"/>
                <w:lang w:val="ro-RO"/>
              </w:rPr>
            </w:pPr>
            <w:r w:rsidRPr="00AD4510">
              <w:rPr>
                <w:rFonts w:ascii="Arial" w:hAnsi="Arial" w:cs="Arial"/>
                <w:color w:val="000000"/>
                <w:sz w:val="20"/>
                <w:szCs w:val="20"/>
                <w:lang w:val="ro-RO"/>
              </w:rPr>
              <w:t>9,0%</w:t>
            </w:r>
          </w:p>
        </w:tc>
        <w:tc>
          <w:tcPr>
            <w:tcW w:w="1183"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right"/>
              <w:rPr>
                <w:rFonts w:ascii="Arial" w:hAnsi="Arial" w:cs="Arial"/>
                <w:color w:val="000000"/>
                <w:sz w:val="20"/>
                <w:szCs w:val="20"/>
                <w:lang w:val="ro-RO"/>
              </w:rPr>
            </w:pPr>
            <w:r w:rsidRPr="00AD4510">
              <w:rPr>
                <w:rFonts w:ascii="Arial" w:hAnsi="Arial" w:cs="Arial"/>
                <w:color w:val="000000"/>
                <w:sz w:val="20"/>
                <w:szCs w:val="20"/>
                <w:lang w:val="ro-RO"/>
              </w:rPr>
              <w:t>3.123.968</w:t>
            </w:r>
          </w:p>
        </w:tc>
      </w:tr>
      <w:tr w:rsidR="00F816CA" w:rsidRPr="00AD4510" w:rsidTr="005C2227">
        <w:trPr>
          <w:trHeight w:val="247"/>
        </w:trPr>
        <w:tc>
          <w:tcPr>
            <w:tcW w:w="5220"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right"/>
              <w:rPr>
                <w:rFonts w:ascii="Arial" w:hAnsi="Arial" w:cs="Arial"/>
                <w:color w:val="000000"/>
                <w:sz w:val="20"/>
                <w:szCs w:val="20"/>
                <w:lang w:val="ro-RO"/>
              </w:rPr>
            </w:pPr>
          </w:p>
        </w:tc>
        <w:tc>
          <w:tcPr>
            <w:tcW w:w="504"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right"/>
              <w:rPr>
                <w:rFonts w:ascii="Arial" w:hAnsi="Arial" w:cs="Arial"/>
                <w:color w:val="000000"/>
                <w:sz w:val="18"/>
                <w:szCs w:val="18"/>
                <w:lang w:val="ro-RO"/>
              </w:rPr>
            </w:pPr>
          </w:p>
        </w:tc>
        <w:tc>
          <w:tcPr>
            <w:tcW w:w="1387"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right"/>
              <w:rPr>
                <w:rFonts w:ascii="Arial" w:hAnsi="Arial" w:cs="Arial"/>
                <w:color w:val="000000"/>
                <w:sz w:val="20"/>
                <w:szCs w:val="20"/>
                <w:lang w:val="ro-RO"/>
              </w:rPr>
            </w:pPr>
          </w:p>
        </w:tc>
        <w:tc>
          <w:tcPr>
            <w:tcW w:w="1325"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right"/>
              <w:rPr>
                <w:rFonts w:ascii="Arial" w:hAnsi="Arial" w:cs="Arial"/>
                <w:color w:val="000000"/>
                <w:sz w:val="20"/>
                <w:szCs w:val="20"/>
                <w:lang w:val="ro-RO"/>
              </w:rPr>
            </w:pPr>
          </w:p>
        </w:tc>
        <w:tc>
          <w:tcPr>
            <w:tcW w:w="1104"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right"/>
              <w:rPr>
                <w:rFonts w:ascii="Arial" w:hAnsi="Arial" w:cs="Arial"/>
                <w:color w:val="000000"/>
                <w:sz w:val="20"/>
                <w:szCs w:val="20"/>
                <w:lang w:val="ro-RO"/>
              </w:rPr>
            </w:pPr>
          </w:p>
        </w:tc>
        <w:tc>
          <w:tcPr>
            <w:tcW w:w="1183"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right"/>
              <w:rPr>
                <w:rFonts w:ascii="Arial" w:hAnsi="Arial" w:cs="Arial"/>
                <w:color w:val="000000"/>
                <w:sz w:val="20"/>
                <w:szCs w:val="20"/>
                <w:lang w:val="ro-RO"/>
              </w:rPr>
            </w:pPr>
          </w:p>
        </w:tc>
      </w:tr>
      <w:tr w:rsidR="00F816CA" w:rsidRPr="00AD4510" w:rsidTr="005C2227">
        <w:trPr>
          <w:trHeight w:val="247"/>
        </w:trPr>
        <w:tc>
          <w:tcPr>
            <w:tcW w:w="5220"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center"/>
              <w:rPr>
                <w:rFonts w:ascii="Arial" w:hAnsi="Arial" w:cs="Arial"/>
                <w:b/>
                <w:bCs/>
                <w:i/>
                <w:iCs/>
                <w:color w:val="000000"/>
                <w:sz w:val="20"/>
                <w:szCs w:val="20"/>
                <w:lang w:val="ro-RO"/>
              </w:rPr>
            </w:pPr>
            <w:r w:rsidRPr="00AD4510">
              <w:rPr>
                <w:rFonts w:ascii="Arial" w:hAnsi="Arial" w:cs="Arial"/>
                <w:b/>
                <w:bCs/>
                <w:i/>
                <w:iCs/>
                <w:color w:val="000000"/>
                <w:sz w:val="20"/>
                <w:szCs w:val="20"/>
                <w:lang w:val="ro-RO"/>
              </w:rPr>
              <w:t>TOTAL buget de stat + bugete asigurări</w:t>
            </w:r>
          </w:p>
        </w:tc>
        <w:tc>
          <w:tcPr>
            <w:tcW w:w="504"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right"/>
              <w:rPr>
                <w:rFonts w:ascii="Arial" w:hAnsi="Arial" w:cs="Arial"/>
                <w:color w:val="000000"/>
                <w:sz w:val="18"/>
                <w:szCs w:val="18"/>
                <w:lang w:val="ro-RO"/>
              </w:rPr>
            </w:pPr>
          </w:p>
        </w:tc>
        <w:tc>
          <w:tcPr>
            <w:tcW w:w="1387"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right"/>
              <w:rPr>
                <w:rFonts w:ascii="Arial" w:hAnsi="Arial" w:cs="Arial"/>
                <w:b/>
                <w:bCs/>
                <w:i/>
                <w:iCs/>
                <w:color w:val="000000"/>
                <w:sz w:val="20"/>
                <w:szCs w:val="20"/>
                <w:lang w:val="ro-RO"/>
              </w:rPr>
            </w:pPr>
            <w:r w:rsidRPr="00AD4510">
              <w:rPr>
                <w:rFonts w:ascii="Arial" w:hAnsi="Arial" w:cs="Arial"/>
                <w:b/>
                <w:bCs/>
                <w:i/>
                <w:iCs/>
                <w:color w:val="000000"/>
                <w:sz w:val="20"/>
                <w:szCs w:val="20"/>
                <w:lang w:val="ro-RO"/>
              </w:rPr>
              <w:t>267.518.250</w:t>
            </w:r>
          </w:p>
        </w:tc>
        <w:tc>
          <w:tcPr>
            <w:tcW w:w="1325"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right"/>
              <w:rPr>
                <w:rFonts w:ascii="Arial" w:hAnsi="Arial" w:cs="Arial"/>
                <w:b/>
                <w:bCs/>
                <w:i/>
                <w:iCs/>
                <w:color w:val="000000"/>
                <w:sz w:val="20"/>
                <w:szCs w:val="20"/>
                <w:lang w:val="ro-RO"/>
              </w:rPr>
            </w:pPr>
            <w:r>
              <w:rPr>
                <w:rFonts w:ascii="Arial" w:hAnsi="Arial" w:cs="Arial"/>
                <w:b/>
                <w:bCs/>
                <w:i/>
                <w:iCs/>
                <w:color w:val="000000"/>
                <w:sz w:val="20"/>
                <w:szCs w:val="20"/>
                <w:lang w:val="ro-RO"/>
              </w:rPr>
              <w:t>308.662.646</w:t>
            </w:r>
          </w:p>
        </w:tc>
        <w:tc>
          <w:tcPr>
            <w:tcW w:w="1104"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right"/>
              <w:rPr>
                <w:rFonts w:ascii="Arial" w:hAnsi="Arial" w:cs="Arial"/>
                <w:b/>
                <w:bCs/>
                <w:i/>
                <w:iCs/>
                <w:color w:val="000000"/>
                <w:sz w:val="20"/>
                <w:szCs w:val="20"/>
                <w:lang w:val="ro-RO"/>
              </w:rPr>
            </w:pPr>
            <w:r>
              <w:rPr>
                <w:rFonts w:ascii="Arial" w:hAnsi="Arial" w:cs="Arial"/>
                <w:b/>
                <w:bCs/>
                <w:i/>
                <w:iCs/>
                <w:color w:val="000000"/>
                <w:sz w:val="20"/>
                <w:szCs w:val="20"/>
                <w:lang w:val="ro-RO"/>
              </w:rPr>
              <w:t>15,4</w:t>
            </w:r>
            <w:r w:rsidRPr="00AD4510">
              <w:rPr>
                <w:rFonts w:ascii="Arial" w:hAnsi="Arial" w:cs="Arial"/>
                <w:b/>
                <w:bCs/>
                <w:i/>
                <w:iCs/>
                <w:color w:val="000000"/>
                <w:sz w:val="20"/>
                <w:szCs w:val="20"/>
                <w:lang w:val="ro-RO"/>
              </w:rPr>
              <w:t>%</w:t>
            </w:r>
          </w:p>
        </w:tc>
        <w:tc>
          <w:tcPr>
            <w:tcW w:w="1183" w:type="dxa"/>
            <w:tcBorders>
              <w:top w:val="single" w:sz="6" w:space="0" w:color="auto"/>
              <w:left w:val="single" w:sz="6" w:space="0" w:color="auto"/>
              <w:bottom w:val="single" w:sz="6" w:space="0" w:color="auto"/>
              <w:right w:val="single" w:sz="6" w:space="0" w:color="auto"/>
            </w:tcBorders>
          </w:tcPr>
          <w:p w:rsidR="00F816CA" w:rsidRPr="00AD4510" w:rsidRDefault="00F816CA" w:rsidP="005C2227">
            <w:pPr>
              <w:autoSpaceDE w:val="0"/>
              <w:autoSpaceDN w:val="0"/>
              <w:adjustRightInd w:val="0"/>
              <w:spacing w:after="0" w:line="240" w:lineRule="auto"/>
              <w:jc w:val="right"/>
              <w:rPr>
                <w:rFonts w:ascii="Arial" w:hAnsi="Arial" w:cs="Arial"/>
                <w:b/>
                <w:bCs/>
                <w:i/>
                <w:iCs/>
                <w:color w:val="000000"/>
                <w:sz w:val="20"/>
                <w:szCs w:val="20"/>
                <w:lang w:val="ro-RO"/>
              </w:rPr>
            </w:pPr>
            <w:r>
              <w:rPr>
                <w:rFonts w:ascii="Arial" w:hAnsi="Arial" w:cs="Arial"/>
                <w:b/>
                <w:bCs/>
                <w:i/>
                <w:iCs/>
                <w:color w:val="000000"/>
                <w:sz w:val="20"/>
                <w:szCs w:val="20"/>
                <w:lang w:val="ro-RO"/>
              </w:rPr>
              <w:t>41.144.396</w:t>
            </w:r>
          </w:p>
        </w:tc>
      </w:tr>
    </w:tbl>
    <w:p w:rsidR="00F816CA" w:rsidRPr="00AD4510" w:rsidRDefault="00F816CA" w:rsidP="00F816CA">
      <w:pPr>
        <w:jc w:val="both"/>
        <w:rPr>
          <w:rFonts w:ascii="Arial" w:hAnsi="Arial" w:cs="Arial"/>
          <w:color w:val="000000"/>
          <w:sz w:val="24"/>
          <w:szCs w:val="24"/>
          <w:shd w:val="clear" w:color="auto" w:fill="FFFFFF"/>
          <w:lang w:val="ro-RO"/>
        </w:rPr>
      </w:pPr>
    </w:p>
    <w:p w:rsidR="00F816CA" w:rsidRPr="00AD4510" w:rsidRDefault="00F816CA" w:rsidP="00F816CA">
      <w:pPr>
        <w:ind w:firstLine="720"/>
        <w:jc w:val="both"/>
        <w:rPr>
          <w:rFonts w:ascii="Arial" w:hAnsi="Arial" w:cs="Arial"/>
          <w:color w:val="000000"/>
          <w:sz w:val="24"/>
          <w:szCs w:val="24"/>
          <w:shd w:val="clear" w:color="auto" w:fill="FFFFFF"/>
          <w:lang w:val="ro-RO"/>
        </w:rPr>
      </w:pPr>
      <w:r w:rsidRPr="00AD4510">
        <w:rPr>
          <w:rFonts w:ascii="Arial" w:hAnsi="Arial" w:cs="Arial"/>
          <w:color w:val="000000"/>
          <w:sz w:val="24"/>
          <w:szCs w:val="24"/>
          <w:shd w:val="clear" w:color="auto" w:fill="FFFFFF"/>
          <w:lang w:val="ro-RO"/>
        </w:rPr>
        <w:t>Bugetul Ministerului Sănătății pe anul 2019 include și cheltuielile pentru programe de sănătate şi investiții (1,79 miliarde lei) care în anii anteriori se finanțau din „ taxa de viciu” (sume reținute din acciza la tutun).</w:t>
      </w:r>
    </w:p>
    <w:p w:rsidR="00F816CA" w:rsidRPr="00AD4510" w:rsidRDefault="00F816CA" w:rsidP="003F5B6C">
      <w:pPr>
        <w:jc w:val="both"/>
        <w:rPr>
          <w:rFonts w:ascii="Arial" w:hAnsi="Arial" w:cs="Arial"/>
          <w:sz w:val="24"/>
          <w:szCs w:val="24"/>
          <w:lang w:val="ro-RO"/>
        </w:rPr>
      </w:pPr>
    </w:p>
    <w:sectPr w:rsidR="00F816CA" w:rsidRPr="00AD4510" w:rsidSect="00777244">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349" w:rsidRDefault="00EA0349" w:rsidP="00554FF3">
      <w:pPr>
        <w:spacing w:after="0" w:line="240" w:lineRule="auto"/>
      </w:pPr>
      <w:r>
        <w:separator/>
      </w:r>
    </w:p>
  </w:endnote>
  <w:endnote w:type="continuationSeparator" w:id="0">
    <w:p w:rsidR="00EA0349" w:rsidRDefault="00EA0349" w:rsidP="00554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605364"/>
      <w:docPartObj>
        <w:docPartGallery w:val="Page Numbers (Bottom of Page)"/>
        <w:docPartUnique/>
      </w:docPartObj>
    </w:sdtPr>
    <w:sdtContent>
      <w:p w:rsidR="005C2227" w:rsidRDefault="005C2227">
        <w:pPr>
          <w:pStyle w:val="Footer"/>
          <w:jc w:val="center"/>
        </w:pPr>
        <w:r>
          <w:fldChar w:fldCharType="begin"/>
        </w:r>
        <w:r>
          <w:instrText>PAGE   \* MERGEFORMAT</w:instrText>
        </w:r>
        <w:r>
          <w:fldChar w:fldCharType="separate"/>
        </w:r>
        <w:r w:rsidR="00BC47C7" w:rsidRPr="00BC47C7">
          <w:rPr>
            <w:noProof/>
            <w:lang w:val="ro-RO"/>
          </w:rPr>
          <w:t>7</w:t>
        </w:r>
        <w:r>
          <w:fldChar w:fldCharType="end"/>
        </w:r>
      </w:p>
    </w:sdtContent>
  </w:sdt>
  <w:p w:rsidR="005C2227" w:rsidRDefault="005C22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349" w:rsidRDefault="00EA0349" w:rsidP="00554FF3">
      <w:pPr>
        <w:spacing w:after="0" w:line="240" w:lineRule="auto"/>
      </w:pPr>
      <w:r>
        <w:separator/>
      </w:r>
    </w:p>
  </w:footnote>
  <w:footnote w:type="continuationSeparator" w:id="0">
    <w:p w:rsidR="00EA0349" w:rsidRDefault="00EA0349" w:rsidP="00554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
      </v:shape>
    </w:pict>
  </w:numPicBullet>
  <w:abstractNum w:abstractNumId="0" w15:restartNumberingAfterBreak="0">
    <w:nsid w:val="FFFFFF7C"/>
    <w:multiLevelType w:val="singleLevel"/>
    <w:tmpl w:val="90EC159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F60DA1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CA4EE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75A46A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2DEEA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3CD5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6CA9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2224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8E2E9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F4227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CCAF648"/>
    <w:lvl w:ilvl="0">
      <w:numFmt w:val="bullet"/>
      <w:lvlText w:val="*"/>
      <w:lvlJc w:val="left"/>
    </w:lvl>
  </w:abstractNum>
  <w:abstractNum w:abstractNumId="11" w15:restartNumberingAfterBreak="0">
    <w:nsid w:val="036437C5"/>
    <w:multiLevelType w:val="hybridMultilevel"/>
    <w:tmpl w:val="9E107584"/>
    <w:lvl w:ilvl="0" w:tplc="F93E5C96">
      <w:start w:val="1"/>
      <w:numFmt w:val="bullet"/>
      <w:lvlText w:val=""/>
      <w:lvlJc w:val="left"/>
      <w:pPr>
        <w:ind w:left="720" w:hanging="360"/>
      </w:pPr>
      <w:rPr>
        <w:rFonts w:ascii="Symbol" w:hAnsi="Symbol" w:hint="default"/>
        <w:b/>
        <w:color w:val="000080"/>
        <w:sz w:val="18"/>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047F3356"/>
    <w:multiLevelType w:val="hybridMultilevel"/>
    <w:tmpl w:val="FB0A5420"/>
    <w:lvl w:ilvl="0" w:tplc="B67E8E10">
      <w:start w:val="1"/>
      <w:numFmt w:val="bullet"/>
      <w:lvlText w:val=""/>
      <w:lvlJc w:val="left"/>
      <w:pPr>
        <w:ind w:left="786" w:hanging="360"/>
      </w:pPr>
      <w:rPr>
        <w:rFonts w:ascii="Symbol" w:hAnsi="Symbol" w:hint="default"/>
        <w:sz w:val="18"/>
      </w:rPr>
    </w:lvl>
    <w:lvl w:ilvl="1" w:tplc="04180003" w:tentative="1">
      <w:start w:val="1"/>
      <w:numFmt w:val="bullet"/>
      <w:lvlText w:val="o"/>
      <w:lvlJc w:val="left"/>
      <w:pPr>
        <w:ind w:left="1506" w:hanging="360"/>
      </w:pPr>
      <w:rPr>
        <w:rFonts w:ascii="Courier New" w:hAnsi="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3" w15:restartNumberingAfterBreak="0">
    <w:nsid w:val="0DAF1E03"/>
    <w:multiLevelType w:val="hybridMultilevel"/>
    <w:tmpl w:val="DE2CFF10"/>
    <w:lvl w:ilvl="0" w:tplc="F502E2A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47F5E"/>
    <w:multiLevelType w:val="hybridMultilevel"/>
    <w:tmpl w:val="405EC9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ED2508"/>
    <w:multiLevelType w:val="hybridMultilevel"/>
    <w:tmpl w:val="CA803F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1480894"/>
    <w:multiLevelType w:val="hybridMultilevel"/>
    <w:tmpl w:val="ABEC08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8635A"/>
    <w:multiLevelType w:val="hybridMultilevel"/>
    <w:tmpl w:val="A01E1B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3F0291"/>
    <w:multiLevelType w:val="hybridMultilevel"/>
    <w:tmpl w:val="5D24BFE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18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CB11A9C"/>
    <w:multiLevelType w:val="hybridMultilevel"/>
    <w:tmpl w:val="373ECB7C"/>
    <w:lvl w:ilvl="0" w:tplc="0418000B">
      <w:start w:val="1"/>
      <w:numFmt w:val="bullet"/>
      <w:lvlText w:val=""/>
      <w:lvlJc w:val="left"/>
      <w:pPr>
        <w:ind w:left="1070" w:hanging="360"/>
      </w:pPr>
      <w:rPr>
        <w:rFonts w:ascii="Wingdings" w:hAnsi="Wingdings" w:hint="default"/>
      </w:rPr>
    </w:lvl>
    <w:lvl w:ilvl="1" w:tplc="04180003" w:tentative="1">
      <w:start w:val="1"/>
      <w:numFmt w:val="bullet"/>
      <w:lvlText w:val="o"/>
      <w:lvlJc w:val="left"/>
      <w:pPr>
        <w:ind w:left="1790" w:hanging="360"/>
      </w:pPr>
      <w:rPr>
        <w:rFonts w:ascii="Courier New" w:hAnsi="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20" w15:restartNumberingAfterBreak="0">
    <w:nsid w:val="3E2D7339"/>
    <w:multiLevelType w:val="hybridMultilevel"/>
    <w:tmpl w:val="66F4F99A"/>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1" w15:restartNumberingAfterBreak="0">
    <w:nsid w:val="3FA155B8"/>
    <w:multiLevelType w:val="hybridMultilevel"/>
    <w:tmpl w:val="997490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F27C94"/>
    <w:multiLevelType w:val="hybridMultilevel"/>
    <w:tmpl w:val="14927BC4"/>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3" w15:restartNumberingAfterBreak="0">
    <w:nsid w:val="4D002E60"/>
    <w:multiLevelType w:val="hybridMultilevel"/>
    <w:tmpl w:val="CE4A7F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A447BE"/>
    <w:multiLevelType w:val="hybridMultilevel"/>
    <w:tmpl w:val="20744844"/>
    <w:lvl w:ilvl="0" w:tplc="0418000B">
      <w:start w:val="1"/>
      <w:numFmt w:val="bullet"/>
      <w:lvlText w:val=""/>
      <w:lvlJc w:val="left"/>
      <w:pPr>
        <w:ind w:left="1429" w:hanging="360"/>
      </w:pPr>
      <w:rPr>
        <w:rFonts w:ascii="Wingdings" w:hAnsi="Wingdings" w:hint="default"/>
      </w:rPr>
    </w:lvl>
    <w:lvl w:ilvl="1" w:tplc="04180003">
      <w:start w:val="1"/>
      <w:numFmt w:val="bullet"/>
      <w:lvlText w:val="o"/>
      <w:lvlJc w:val="left"/>
      <w:pPr>
        <w:ind w:left="2149" w:hanging="360"/>
      </w:pPr>
      <w:rPr>
        <w:rFonts w:ascii="Courier New" w:hAnsi="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5" w15:restartNumberingAfterBreak="0">
    <w:nsid w:val="570361D6"/>
    <w:multiLevelType w:val="hybridMultilevel"/>
    <w:tmpl w:val="44F281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D84DD3"/>
    <w:multiLevelType w:val="hybridMultilevel"/>
    <w:tmpl w:val="DE8A09B4"/>
    <w:lvl w:ilvl="0" w:tplc="371EECAE">
      <w:start w:val="1"/>
      <w:numFmt w:val="bullet"/>
      <w:lvlText w:val="-"/>
      <w:lvlJc w:val="left"/>
      <w:pPr>
        <w:tabs>
          <w:tab w:val="num" w:pos="360"/>
        </w:tabs>
        <w:ind w:left="360" w:hanging="360"/>
      </w:pPr>
      <w:rPr>
        <w:rFonts w:ascii="Times New Roman" w:eastAsia="Times New Roman" w:hAnsi="Times New Roman"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A302EE9"/>
    <w:multiLevelType w:val="hybridMultilevel"/>
    <w:tmpl w:val="0238785C"/>
    <w:lvl w:ilvl="0" w:tplc="CFBE4798">
      <w:start w:val="1"/>
      <w:numFmt w:val="bullet"/>
      <w:lvlText w:val=""/>
      <w:lvlJc w:val="left"/>
      <w:pPr>
        <w:ind w:left="720" w:hanging="360"/>
      </w:pPr>
      <w:rPr>
        <w:rFonts w:ascii="Wingdings" w:hAnsi="Wingdings" w:hint="default"/>
        <w:color w:val="002060"/>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A0210F1"/>
    <w:multiLevelType w:val="hybridMultilevel"/>
    <w:tmpl w:val="7B945C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CDD2E17"/>
    <w:multiLevelType w:val="hybridMultilevel"/>
    <w:tmpl w:val="9D542E00"/>
    <w:lvl w:ilvl="0" w:tplc="2C24D952">
      <w:start w:val="1"/>
      <w:numFmt w:val="bullet"/>
      <w:lvlText w:val=""/>
      <w:lvlJc w:val="left"/>
      <w:pPr>
        <w:ind w:left="720" w:hanging="360"/>
      </w:pPr>
      <w:rPr>
        <w:rFonts w:ascii="Symbol" w:hAnsi="Symbol" w:hint="default"/>
        <w:sz w:val="18"/>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83147E8"/>
    <w:multiLevelType w:val="hybridMultilevel"/>
    <w:tmpl w:val="91D05610"/>
    <w:lvl w:ilvl="0" w:tplc="0418000B">
      <w:start w:val="1"/>
      <w:numFmt w:val="bullet"/>
      <w:lvlText w:val=""/>
      <w:lvlJc w:val="left"/>
      <w:pPr>
        <w:ind w:left="1068" w:hanging="360"/>
      </w:pPr>
      <w:rPr>
        <w:rFonts w:ascii="Wingdings" w:hAnsi="Wingdings" w:hint="default"/>
      </w:rPr>
    </w:lvl>
    <w:lvl w:ilvl="1" w:tplc="04180003" w:tentative="1">
      <w:start w:val="1"/>
      <w:numFmt w:val="bullet"/>
      <w:lvlText w:val="o"/>
      <w:lvlJc w:val="left"/>
      <w:pPr>
        <w:ind w:left="1788" w:hanging="360"/>
      </w:pPr>
      <w:rPr>
        <w:rFonts w:ascii="Courier New" w:hAnsi="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1" w15:restartNumberingAfterBreak="0">
    <w:nsid w:val="7A4F0DF1"/>
    <w:multiLevelType w:val="hybridMultilevel"/>
    <w:tmpl w:val="DACEB9C2"/>
    <w:lvl w:ilvl="0" w:tplc="22D8FD76">
      <w:numFmt w:val="bullet"/>
      <w:lvlText w:val="-"/>
      <w:lvlJc w:val="left"/>
      <w:pPr>
        <w:ind w:left="420" w:hanging="360"/>
      </w:pPr>
      <w:rPr>
        <w:rFonts w:ascii="Arial" w:eastAsia="Times New Roman" w:hAnsi="Arial" w:hint="default"/>
      </w:rPr>
    </w:lvl>
    <w:lvl w:ilvl="1" w:tplc="04180003">
      <w:start w:val="1"/>
      <w:numFmt w:val="bullet"/>
      <w:lvlText w:val="o"/>
      <w:lvlJc w:val="left"/>
      <w:pPr>
        <w:ind w:left="1140" w:hanging="360"/>
      </w:pPr>
      <w:rPr>
        <w:rFonts w:ascii="Courier New" w:hAnsi="Courier New" w:hint="default"/>
      </w:rPr>
    </w:lvl>
    <w:lvl w:ilvl="2" w:tplc="04180005">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hint="default"/>
      </w:rPr>
    </w:lvl>
    <w:lvl w:ilvl="8" w:tplc="04180005" w:tentative="1">
      <w:start w:val="1"/>
      <w:numFmt w:val="bullet"/>
      <w:lvlText w:val=""/>
      <w:lvlJc w:val="left"/>
      <w:pPr>
        <w:ind w:left="6180" w:hanging="360"/>
      </w:pPr>
      <w:rPr>
        <w:rFonts w:ascii="Wingdings" w:hAnsi="Wingdings" w:hint="default"/>
      </w:rPr>
    </w:lvl>
  </w:abstractNum>
  <w:num w:numId="1">
    <w:abstractNumId w:val="23"/>
  </w:num>
  <w:num w:numId="2">
    <w:abstractNumId w:val="17"/>
  </w:num>
  <w:num w:numId="3">
    <w:abstractNumId w:val="25"/>
  </w:num>
  <w:num w:numId="4">
    <w:abstractNumId w:val="21"/>
  </w:num>
  <w:num w:numId="5">
    <w:abstractNumId w:val="10"/>
    <w:lvlOverride w:ilvl="0">
      <w:lvl w:ilvl="0">
        <w:numFmt w:val="bullet"/>
        <w:lvlText w:val=""/>
        <w:legacy w:legacy="1" w:legacySpace="0" w:legacyIndent="360"/>
        <w:lvlJc w:val="left"/>
        <w:rPr>
          <w:rFonts w:ascii="Symbol" w:hAnsi="Symbol" w:hint="default"/>
        </w:rPr>
      </w:lvl>
    </w:lvlOverride>
  </w:num>
  <w:num w:numId="6">
    <w:abstractNumId w:val="18"/>
  </w:num>
  <w:num w:numId="7">
    <w:abstractNumId w:val="27"/>
  </w:num>
  <w:num w:numId="8">
    <w:abstractNumId w:val="24"/>
  </w:num>
  <w:num w:numId="9">
    <w:abstractNumId w:val="22"/>
  </w:num>
  <w:num w:numId="10">
    <w:abstractNumId w:val="20"/>
  </w:num>
  <w:num w:numId="11">
    <w:abstractNumId w:val="28"/>
  </w:num>
  <w:num w:numId="12">
    <w:abstractNumId w:val="15"/>
  </w:num>
  <w:num w:numId="13">
    <w:abstractNumId w:val="30"/>
  </w:num>
  <w:num w:numId="14">
    <w:abstractNumId w:val="29"/>
  </w:num>
  <w:num w:numId="15">
    <w:abstractNumId w:val="12"/>
  </w:num>
  <w:num w:numId="16">
    <w:abstractNumId w:val="19"/>
  </w:num>
  <w:num w:numId="17">
    <w:abstractNumId w:val="16"/>
  </w:num>
  <w:num w:numId="18">
    <w:abstractNumId w:val="14"/>
  </w:num>
  <w:num w:numId="19">
    <w:abstractNumId w:val="13"/>
  </w:num>
  <w:num w:numId="20">
    <w:abstractNumId w:val="26"/>
  </w:num>
  <w:num w:numId="21">
    <w:abstractNumId w:val="11"/>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504"/>
    <w:rsid w:val="00007ED2"/>
    <w:rsid w:val="0001441C"/>
    <w:rsid w:val="00015F6D"/>
    <w:rsid w:val="00037607"/>
    <w:rsid w:val="00047232"/>
    <w:rsid w:val="000A4F70"/>
    <w:rsid w:val="000E216F"/>
    <w:rsid w:val="000F05E0"/>
    <w:rsid w:val="0010012B"/>
    <w:rsid w:val="00113EA4"/>
    <w:rsid w:val="00116181"/>
    <w:rsid w:val="00121130"/>
    <w:rsid w:val="00122D02"/>
    <w:rsid w:val="001413FF"/>
    <w:rsid w:val="00164B19"/>
    <w:rsid w:val="001810ED"/>
    <w:rsid w:val="001A47F7"/>
    <w:rsid w:val="001C622D"/>
    <w:rsid w:val="001F4530"/>
    <w:rsid w:val="00205B5C"/>
    <w:rsid w:val="002327E7"/>
    <w:rsid w:val="00237E56"/>
    <w:rsid w:val="00245172"/>
    <w:rsid w:val="00254263"/>
    <w:rsid w:val="002622DA"/>
    <w:rsid w:val="00270D9B"/>
    <w:rsid w:val="00285F1E"/>
    <w:rsid w:val="00295E17"/>
    <w:rsid w:val="002B1ED0"/>
    <w:rsid w:val="002B2275"/>
    <w:rsid w:val="002C64D1"/>
    <w:rsid w:val="002D172B"/>
    <w:rsid w:val="002D7F75"/>
    <w:rsid w:val="002E0562"/>
    <w:rsid w:val="002F1999"/>
    <w:rsid w:val="00310355"/>
    <w:rsid w:val="003471BD"/>
    <w:rsid w:val="003544D6"/>
    <w:rsid w:val="0037778B"/>
    <w:rsid w:val="003A6877"/>
    <w:rsid w:val="003C1324"/>
    <w:rsid w:val="003F5B6C"/>
    <w:rsid w:val="00404ACD"/>
    <w:rsid w:val="004521A5"/>
    <w:rsid w:val="004526D9"/>
    <w:rsid w:val="00470D8C"/>
    <w:rsid w:val="00473122"/>
    <w:rsid w:val="00480528"/>
    <w:rsid w:val="004A49EA"/>
    <w:rsid w:val="004A507B"/>
    <w:rsid w:val="004D24B0"/>
    <w:rsid w:val="004D48C4"/>
    <w:rsid w:val="0050580A"/>
    <w:rsid w:val="00516050"/>
    <w:rsid w:val="00521005"/>
    <w:rsid w:val="00543A49"/>
    <w:rsid w:val="00551E7D"/>
    <w:rsid w:val="00554FF3"/>
    <w:rsid w:val="00567479"/>
    <w:rsid w:val="00571BC4"/>
    <w:rsid w:val="00575174"/>
    <w:rsid w:val="00582519"/>
    <w:rsid w:val="005A0286"/>
    <w:rsid w:val="005C2227"/>
    <w:rsid w:val="005E5E69"/>
    <w:rsid w:val="00601460"/>
    <w:rsid w:val="00607A58"/>
    <w:rsid w:val="00634CBC"/>
    <w:rsid w:val="00636499"/>
    <w:rsid w:val="00656592"/>
    <w:rsid w:val="00665A91"/>
    <w:rsid w:val="0067712F"/>
    <w:rsid w:val="00677FD0"/>
    <w:rsid w:val="006E1896"/>
    <w:rsid w:val="006F76D5"/>
    <w:rsid w:val="00702241"/>
    <w:rsid w:val="0077587A"/>
    <w:rsid w:val="00777244"/>
    <w:rsid w:val="007B4230"/>
    <w:rsid w:val="007B58FC"/>
    <w:rsid w:val="007E2D7C"/>
    <w:rsid w:val="00815236"/>
    <w:rsid w:val="00817159"/>
    <w:rsid w:val="0084621E"/>
    <w:rsid w:val="00851C1B"/>
    <w:rsid w:val="00874F4F"/>
    <w:rsid w:val="00892713"/>
    <w:rsid w:val="00897AB1"/>
    <w:rsid w:val="008B0FC4"/>
    <w:rsid w:val="0093705E"/>
    <w:rsid w:val="009523F5"/>
    <w:rsid w:val="00963855"/>
    <w:rsid w:val="00983282"/>
    <w:rsid w:val="009B50BE"/>
    <w:rsid w:val="00A03421"/>
    <w:rsid w:val="00A53E6B"/>
    <w:rsid w:val="00A81E7A"/>
    <w:rsid w:val="00A9162F"/>
    <w:rsid w:val="00A93E0A"/>
    <w:rsid w:val="00AB32D1"/>
    <w:rsid w:val="00AD4510"/>
    <w:rsid w:val="00AE3179"/>
    <w:rsid w:val="00B11B1B"/>
    <w:rsid w:val="00B21796"/>
    <w:rsid w:val="00B4013E"/>
    <w:rsid w:val="00B45920"/>
    <w:rsid w:val="00B46BC4"/>
    <w:rsid w:val="00B70D07"/>
    <w:rsid w:val="00BB4BED"/>
    <w:rsid w:val="00BC47C7"/>
    <w:rsid w:val="00C2792E"/>
    <w:rsid w:val="00C710A4"/>
    <w:rsid w:val="00C8368F"/>
    <w:rsid w:val="00CA4CE5"/>
    <w:rsid w:val="00CC39EA"/>
    <w:rsid w:val="00CC6AA8"/>
    <w:rsid w:val="00D23AAC"/>
    <w:rsid w:val="00D61390"/>
    <w:rsid w:val="00D72E28"/>
    <w:rsid w:val="00DB5FA6"/>
    <w:rsid w:val="00DC00BE"/>
    <w:rsid w:val="00DD6D62"/>
    <w:rsid w:val="00DE42B9"/>
    <w:rsid w:val="00DF243A"/>
    <w:rsid w:val="00DF5495"/>
    <w:rsid w:val="00E13484"/>
    <w:rsid w:val="00E24FDE"/>
    <w:rsid w:val="00E31DD9"/>
    <w:rsid w:val="00E64BE1"/>
    <w:rsid w:val="00E65238"/>
    <w:rsid w:val="00E71094"/>
    <w:rsid w:val="00E77F82"/>
    <w:rsid w:val="00E805C4"/>
    <w:rsid w:val="00E91AE4"/>
    <w:rsid w:val="00EA0349"/>
    <w:rsid w:val="00EC2523"/>
    <w:rsid w:val="00F0030B"/>
    <w:rsid w:val="00F4245E"/>
    <w:rsid w:val="00F61F4A"/>
    <w:rsid w:val="00F816CA"/>
    <w:rsid w:val="00F857D1"/>
    <w:rsid w:val="00F95EF1"/>
    <w:rsid w:val="00F96504"/>
    <w:rsid w:val="00FA05E1"/>
    <w:rsid w:val="00FB07B2"/>
    <w:rsid w:val="00FD2C98"/>
    <w:rsid w:val="00FD4F53"/>
    <w:rsid w:val="00FF3E86"/>
    <w:rsid w:val="00FF7F8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FA3B77"/>
  <w15:docId w15:val="{758E06CD-7331-400E-B8B6-6069CD949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F4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7587A"/>
    <w:pPr>
      <w:ind w:left="720"/>
      <w:contextualSpacing/>
    </w:pPr>
  </w:style>
  <w:style w:type="character" w:customStyle="1" w:styleId="ListParagraphChar">
    <w:name w:val="List Paragraph Char"/>
    <w:link w:val="ListParagraph"/>
    <w:uiPriority w:val="99"/>
    <w:locked/>
    <w:rsid w:val="00DB5FA6"/>
  </w:style>
  <w:style w:type="paragraph" w:customStyle="1" w:styleId="Caracter2CharCharCaracterCharCharCaracterCharCharCaracterCharChar">
    <w:name w:val="Caracter2 Char Char Caracter Char Char Caracter Char Char Caracter Char Char"/>
    <w:basedOn w:val="Normal"/>
    <w:uiPriority w:val="99"/>
    <w:rsid w:val="00897AB1"/>
    <w:pPr>
      <w:spacing w:after="0" w:line="240" w:lineRule="auto"/>
    </w:pPr>
    <w:rPr>
      <w:rFonts w:ascii="Times New Roman" w:eastAsia="Times New Roman" w:hAnsi="Times New Roman"/>
      <w:sz w:val="24"/>
      <w:szCs w:val="24"/>
      <w:lang w:val="pl-PL" w:eastAsia="pl-PL"/>
    </w:rPr>
  </w:style>
  <w:style w:type="paragraph" w:styleId="Title">
    <w:name w:val="Title"/>
    <w:basedOn w:val="Normal"/>
    <w:next w:val="Normal"/>
    <w:link w:val="TitleChar"/>
    <w:uiPriority w:val="99"/>
    <w:qFormat/>
    <w:rsid w:val="001810ED"/>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1810ED"/>
    <w:rPr>
      <w:rFonts w:ascii="Calibri Light" w:hAnsi="Calibri Light" w:cs="Times New Roman"/>
      <w:spacing w:val="-10"/>
      <w:kern w:val="28"/>
      <w:sz w:val="56"/>
      <w:szCs w:val="56"/>
    </w:rPr>
  </w:style>
  <w:style w:type="paragraph" w:styleId="FootnoteText">
    <w:name w:val="footnote text"/>
    <w:aliases w:val="Footnote,Fußnote,Tekst przypisu,Tekst przypisu Znak Znak Znak Znak,Tekst przypisu Znak Znak Znak Znak Znak,Tekst przypisu Znak Znak Znak Znak Znak Znak Znak,Tekst przypisu Znak Znak Znak Znak Znak Znak Znak Znak Zn,fn,single space"/>
    <w:basedOn w:val="Normal"/>
    <w:link w:val="FootnoteTextChar"/>
    <w:uiPriority w:val="99"/>
    <w:rsid w:val="00A93E0A"/>
    <w:pPr>
      <w:spacing w:after="0" w:line="240" w:lineRule="auto"/>
    </w:pPr>
    <w:rPr>
      <w:rFonts w:ascii="Times New Roman" w:hAnsi="Times New Roman"/>
      <w:sz w:val="20"/>
      <w:szCs w:val="20"/>
    </w:rPr>
  </w:style>
  <w:style w:type="character" w:customStyle="1" w:styleId="FootnoteTextChar">
    <w:name w:val="Footnote Text Char"/>
    <w:aliases w:val="Footnote Char,Fußnote Char,Tekst przypisu Char,Tekst przypisu Znak Znak Znak Znak Char,Tekst przypisu Znak Znak Znak Znak Znak Char,Tekst przypisu Znak Znak Znak Znak Znak Znak Znak Char,fn Char,single space Char"/>
    <w:basedOn w:val="DefaultParagraphFont"/>
    <w:link w:val="FootnoteText"/>
    <w:uiPriority w:val="99"/>
    <w:semiHidden/>
    <w:locked/>
    <w:rPr>
      <w:rFonts w:cs="Times New Roman"/>
      <w:sz w:val="20"/>
      <w:szCs w:val="20"/>
    </w:rPr>
  </w:style>
  <w:style w:type="character" w:styleId="FootnoteReference">
    <w:name w:val="footnote reference"/>
    <w:aliases w:val="Char Char1 Char Char Char Char Char Char Caracter1 Char Caracter Char Caracter Char Caracter Char Char Char Char Char,Char Char1 Char Char Char Char Char Char Caracter Char Char Char Char Char Char,fr Char"/>
    <w:basedOn w:val="DefaultParagraphFont"/>
    <w:uiPriority w:val="99"/>
    <w:rsid w:val="00A93E0A"/>
    <w:rPr>
      <w:rFonts w:cs="Times New Roman"/>
      <w:vertAlign w:val="superscript"/>
    </w:rPr>
  </w:style>
  <w:style w:type="paragraph" w:styleId="BalloonText">
    <w:name w:val="Balloon Text"/>
    <w:basedOn w:val="Normal"/>
    <w:link w:val="BalloonTextChar"/>
    <w:uiPriority w:val="99"/>
    <w:semiHidden/>
    <w:rsid w:val="00582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82519"/>
    <w:rPr>
      <w:rFonts w:ascii="Segoe UI" w:hAnsi="Segoe UI" w:cs="Segoe UI"/>
      <w:sz w:val="18"/>
      <w:szCs w:val="18"/>
    </w:rPr>
  </w:style>
  <w:style w:type="paragraph" w:styleId="Header">
    <w:name w:val="header"/>
    <w:basedOn w:val="Normal"/>
    <w:link w:val="HeaderChar"/>
    <w:uiPriority w:val="99"/>
    <w:unhideWhenUsed/>
    <w:rsid w:val="009B50B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50BE"/>
  </w:style>
  <w:style w:type="paragraph" w:styleId="Footer">
    <w:name w:val="footer"/>
    <w:basedOn w:val="Normal"/>
    <w:link w:val="FooterChar"/>
    <w:uiPriority w:val="99"/>
    <w:unhideWhenUsed/>
    <w:rsid w:val="009B50B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5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218846">
      <w:marLeft w:val="0"/>
      <w:marRight w:val="0"/>
      <w:marTop w:val="0"/>
      <w:marBottom w:val="0"/>
      <w:divBdr>
        <w:top w:val="none" w:sz="0" w:space="0" w:color="auto"/>
        <w:left w:val="none" w:sz="0" w:space="0" w:color="auto"/>
        <w:bottom w:val="none" w:sz="0" w:space="0" w:color="auto"/>
        <w:right w:val="none" w:sz="0" w:space="0" w:color="auto"/>
      </w:divBdr>
    </w:div>
    <w:div w:id="4742188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2E7BF-C463-44B1-9541-FFF84AE49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2203</Words>
  <Characters>12780</Characters>
  <Application>Microsoft Office Word</Application>
  <DocSecurity>0</DocSecurity>
  <Lines>106</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BUGET 2019</vt:lpstr>
      <vt:lpstr>BUGET 2019</vt:lpstr>
    </vt:vector>
  </TitlesOfParts>
  <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BUGET 2019</dc:title>
  <dc:subject/>
  <dc:creator>CRISTINA POSTOLACHE</dc:creator>
  <cp:keywords/>
  <dc:description/>
  <cp:lastModifiedBy>NICOLETA-LAURA ŞTIRBU</cp:lastModifiedBy>
  <cp:revision>3</cp:revision>
  <cp:lastPrinted>2019-01-31T14:39:00Z</cp:lastPrinted>
  <dcterms:created xsi:type="dcterms:W3CDTF">2019-01-31T18:18:00Z</dcterms:created>
  <dcterms:modified xsi:type="dcterms:W3CDTF">2019-01-31T18:25:00Z</dcterms:modified>
</cp:coreProperties>
</file>